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70CD4" w14:textId="77777777" w:rsidR="00662474" w:rsidRPr="00B96EDC" w:rsidRDefault="00662474" w:rsidP="00874F8E">
      <w:pPr>
        <w:pBdr>
          <w:bottom w:val="single" w:sz="12" w:space="1" w:color="auto"/>
        </w:pBdr>
        <w:spacing w:after="120"/>
        <w:jc w:val="both"/>
        <w:rPr>
          <w:rFonts w:ascii="Times New Roman" w:hAnsi="Times New Roman" w:cs="Times New Roman"/>
          <w:b/>
          <w:color w:val="0C5CA8"/>
          <w:sz w:val="44"/>
          <w:szCs w:val="24"/>
          <w:lang w:val="en-GB"/>
        </w:rPr>
      </w:pPr>
    </w:p>
    <w:p w14:paraId="2496B466" w14:textId="77777777" w:rsidR="00662474" w:rsidRPr="00B96EDC" w:rsidRDefault="00662474" w:rsidP="00874F8E">
      <w:pPr>
        <w:pBdr>
          <w:bottom w:val="single" w:sz="12" w:space="1" w:color="auto"/>
        </w:pBdr>
        <w:spacing w:after="120"/>
        <w:jc w:val="both"/>
        <w:rPr>
          <w:rFonts w:ascii="Times New Roman" w:hAnsi="Times New Roman" w:cs="Times New Roman"/>
          <w:b/>
          <w:color w:val="0C5CA8"/>
          <w:sz w:val="44"/>
          <w:szCs w:val="24"/>
          <w:lang w:val="en-GB"/>
        </w:rPr>
      </w:pPr>
    </w:p>
    <w:p w14:paraId="69F5B902" w14:textId="77777777" w:rsidR="00662474" w:rsidRPr="00B96EDC" w:rsidRDefault="00662474" w:rsidP="00874F8E">
      <w:pPr>
        <w:pBdr>
          <w:bottom w:val="single" w:sz="12" w:space="1" w:color="auto"/>
        </w:pBdr>
        <w:spacing w:after="120"/>
        <w:jc w:val="both"/>
        <w:rPr>
          <w:rFonts w:ascii="Times New Roman" w:hAnsi="Times New Roman" w:cs="Times New Roman"/>
          <w:b/>
          <w:color w:val="0C5CA8"/>
          <w:sz w:val="44"/>
          <w:szCs w:val="24"/>
          <w:lang w:val="en-GB"/>
        </w:rPr>
      </w:pPr>
    </w:p>
    <w:p w14:paraId="0969094D" w14:textId="77777777" w:rsidR="00662474" w:rsidRPr="00B96EDC" w:rsidRDefault="00662474" w:rsidP="00874F8E">
      <w:pPr>
        <w:pBdr>
          <w:bottom w:val="single" w:sz="12" w:space="1" w:color="auto"/>
        </w:pBdr>
        <w:spacing w:after="120"/>
        <w:jc w:val="both"/>
        <w:rPr>
          <w:rFonts w:ascii="Times New Roman" w:hAnsi="Times New Roman" w:cs="Times New Roman"/>
          <w:b/>
          <w:color w:val="0C5CA8"/>
          <w:sz w:val="44"/>
          <w:szCs w:val="24"/>
          <w:lang w:val="en-GB"/>
        </w:rPr>
      </w:pPr>
    </w:p>
    <w:p w14:paraId="347B8BE7" w14:textId="77777777" w:rsidR="00662474" w:rsidRPr="00B96EDC" w:rsidRDefault="00662474" w:rsidP="00874F8E">
      <w:pPr>
        <w:pBdr>
          <w:bottom w:val="single" w:sz="12" w:space="1" w:color="auto"/>
        </w:pBdr>
        <w:spacing w:after="120"/>
        <w:jc w:val="both"/>
        <w:rPr>
          <w:rFonts w:ascii="Times New Roman" w:hAnsi="Times New Roman" w:cs="Times New Roman"/>
          <w:b/>
          <w:color w:val="0C5CA8"/>
          <w:sz w:val="44"/>
          <w:szCs w:val="24"/>
          <w:lang w:val="en-GB"/>
        </w:rPr>
      </w:pPr>
    </w:p>
    <w:p w14:paraId="274F5B0A" w14:textId="77777777" w:rsidR="00662474" w:rsidRPr="00B96EDC" w:rsidRDefault="00662474" w:rsidP="00874F8E">
      <w:pPr>
        <w:pBdr>
          <w:bottom w:val="single" w:sz="12" w:space="1" w:color="auto"/>
        </w:pBdr>
        <w:spacing w:after="120"/>
        <w:jc w:val="both"/>
        <w:rPr>
          <w:rFonts w:ascii="Times New Roman" w:hAnsi="Times New Roman" w:cs="Times New Roman"/>
          <w:b/>
          <w:color w:val="0C5CA8"/>
          <w:sz w:val="44"/>
          <w:szCs w:val="24"/>
          <w:lang w:val="en-GB"/>
        </w:rPr>
      </w:pPr>
    </w:p>
    <w:p w14:paraId="1B5A2493" w14:textId="02B2FAE2" w:rsidR="00662474" w:rsidRPr="00B96EDC" w:rsidRDefault="00662474" w:rsidP="00874F8E">
      <w:pPr>
        <w:pBdr>
          <w:bottom w:val="single" w:sz="12" w:space="1" w:color="auto"/>
        </w:pBdr>
        <w:spacing w:after="120"/>
        <w:jc w:val="both"/>
        <w:rPr>
          <w:rFonts w:ascii="Times New Roman" w:hAnsi="Times New Roman" w:cs="Times New Roman"/>
          <w:b/>
          <w:color w:val="0C5CA8"/>
          <w:sz w:val="44"/>
          <w:szCs w:val="24"/>
          <w:lang w:val="en-GB"/>
        </w:rPr>
      </w:pPr>
      <w:r w:rsidRPr="00B96EDC">
        <w:rPr>
          <w:rFonts w:ascii="Times New Roman" w:hAnsi="Times New Roman" w:cs="Times New Roman"/>
          <w:b/>
          <w:color w:val="0C5CA8"/>
          <w:sz w:val="44"/>
          <w:szCs w:val="24"/>
          <w:lang w:val="en-GB"/>
        </w:rPr>
        <w:t>INDIVIDUAL SUBMISSION OF SLOVAK NATIONAL CENTRE FOR HUMAN RIGHTS</w:t>
      </w:r>
    </w:p>
    <w:p w14:paraId="4C8E0F1B" w14:textId="39DA8B25" w:rsidR="002902A8" w:rsidRPr="00B96EDC" w:rsidRDefault="00662474" w:rsidP="00874F8E">
      <w:pPr>
        <w:spacing w:after="120"/>
        <w:rPr>
          <w:rFonts w:ascii="Times New Roman" w:hAnsi="Times New Roman" w:cs="Times New Roman"/>
          <w:color w:val="auto"/>
          <w:sz w:val="32"/>
          <w:szCs w:val="24"/>
          <w:lang w:val="en-GB"/>
        </w:rPr>
      </w:pPr>
      <w:r w:rsidRPr="00B96EDC">
        <w:rPr>
          <w:rFonts w:ascii="Times New Roman" w:hAnsi="Times New Roman" w:cs="Times New Roman"/>
          <w:color w:val="auto"/>
          <w:sz w:val="32"/>
          <w:szCs w:val="24"/>
          <w:lang w:val="en-GB"/>
        </w:rPr>
        <w:t>Alternative Report on the Implementation of the European Social Charter – Articles 3, 11, 12, 13, 14, 23 and 30</w:t>
      </w:r>
    </w:p>
    <w:p w14:paraId="1018D659" w14:textId="23E3C7E2" w:rsidR="00662474" w:rsidRPr="00B96EDC" w:rsidRDefault="00662474" w:rsidP="00874F8E">
      <w:pPr>
        <w:spacing w:after="120"/>
        <w:rPr>
          <w:rFonts w:ascii="Times New Roman" w:hAnsi="Times New Roman" w:cs="Times New Roman"/>
          <w:color w:val="0C5CA8"/>
          <w:sz w:val="32"/>
          <w:szCs w:val="24"/>
          <w:lang w:val="en-GB"/>
        </w:rPr>
      </w:pPr>
    </w:p>
    <w:p w14:paraId="747801BD" w14:textId="3AE7AB4B" w:rsidR="00662474" w:rsidRPr="00B96EDC" w:rsidRDefault="00662474" w:rsidP="00874F8E">
      <w:pPr>
        <w:spacing w:after="120"/>
        <w:rPr>
          <w:rFonts w:ascii="Times New Roman" w:hAnsi="Times New Roman" w:cs="Times New Roman"/>
          <w:color w:val="0C5CA8"/>
          <w:sz w:val="32"/>
          <w:szCs w:val="24"/>
          <w:lang w:val="en-GB"/>
        </w:rPr>
      </w:pPr>
    </w:p>
    <w:p w14:paraId="64A32AFE" w14:textId="4A8D95B0" w:rsidR="00662474" w:rsidRPr="00B96EDC" w:rsidRDefault="00662474" w:rsidP="00874F8E">
      <w:pPr>
        <w:spacing w:after="120"/>
        <w:rPr>
          <w:rFonts w:ascii="Times New Roman" w:hAnsi="Times New Roman" w:cs="Times New Roman"/>
          <w:b/>
          <w:color w:val="auto"/>
          <w:sz w:val="32"/>
          <w:szCs w:val="24"/>
          <w:lang w:val="en-GB"/>
        </w:rPr>
      </w:pPr>
      <w:r w:rsidRPr="00B96EDC">
        <w:rPr>
          <w:rFonts w:ascii="Times New Roman" w:hAnsi="Times New Roman" w:cs="Times New Roman"/>
          <w:b/>
          <w:color w:val="auto"/>
          <w:sz w:val="32"/>
          <w:szCs w:val="24"/>
          <w:lang w:val="en-GB"/>
        </w:rPr>
        <w:t>CYCLE 2021</w:t>
      </w:r>
    </w:p>
    <w:p w14:paraId="1BBE21C3" w14:textId="28FC8932" w:rsidR="00662474" w:rsidRPr="00B96EDC" w:rsidRDefault="00662474" w:rsidP="00874F8E">
      <w:pPr>
        <w:spacing w:after="120"/>
        <w:rPr>
          <w:rFonts w:ascii="Times New Roman" w:hAnsi="Times New Roman" w:cs="Times New Roman"/>
          <w:color w:val="0C5CA8"/>
          <w:sz w:val="32"/>
          <w:szCs w:val="24"/>
          <w:lang w:val="en-GB"/>
        </w:rPr>
      </w:pPr>
    </w:p>
    <w:p w14:paraId="35C27AFB" w14:textId="00F4B578" w:rsidR="00662474" w:rsidRPr="00B96EDC" w:rsidRDefault="00662474" w:rsidP="00874F8E">
      <w:pPr>
        <w:spacing w:after="120"/>
        <w:rPr>
          <w:rFonts w:ascii="Times New Roman" w:hAnsi="Times New Roman" w:cs="Times New Roman"/>
          <w:color w:val="0C5CA8"/>
          <w:sz w:val="32"/>
          <w:szCs w:val="24"/>
          <w:lang w:val="en-GB"/>
        </w:rPr>
      </w:pPr>
    </w:p>
    <w:p w14:paraId="7928ACC6" w14:textId="28792536" w:rsidR="00662474" w:rsidRPr="00B96EDC" w:rsidRDefault="00662474" w:rsidP="00874F8E">
      <w:pPr>
        <w:spacing w:after="120"/>
        <w:rPr>
          <w:rFonts w:ascii="Times New Roman" w:hAnsi="Times New Roman" w:cs="Times New Roman"/>
          <w:color w:val="0C5CA8"/>
          <w:sz w:val="32"/>
          <w:szCs w:val="24"/>
          <w:lang w:val="en-GB"/>
        </w:rPr>
      </w:pPr>
    </w:p>
    <w:p w14:paraId="4A955711" w14:textId="5E3A07D5" w:rsidR="00662474" w:rsidRPr="00B96EDC" w:rsidRDefault="00662474" w:rsidP="00874F8E">
      <w:pPr>
        <w:spacing w:after="120"/>
        <w:rPr>
          <w:rFonts w:ascii="Times New Roman" w:hAnsi="Times New Roman" w:cs="Times New Roman"/>
          <w:color w:val="0C5CA8"/>
          <w:sz w:val="32"/>
          <w:szCs w:val="24"/>
          <w:lang w:val="en-GB"/>
        </w:rPr>
      </w:pPr>
    </w:p>
    <w:p w14:paraId="734B5C5A" w14:textId="2D22F111" w:rsidR="00662474" w:rsidRPr="00B96EDC" w:rsidRDefault="00662474" w:rsidP="00874F8E">
      <w:pPr>
        <w:spacing w:after="120"/>
        <w:rPr>
          <w:rFonts w:ascii="Times New Roman" w:hAnsi="Times New Roman" w:cs="Times New Roman"/>
          <w:color w:val="0C5CA8"/>
          <w:sz w:val="32"/>
          <w:szCs w:val="24"/>
          <w:lang w:val="en-GB"/>
        </w:rPr>
      </w:pPr>
    </w:p>
    <w:p w14:paraId="3086E322" w14:textId="41C44D8B" w:rsidR="00662474" w:rsidRPr="00B96EDC" w:rsidRDefault="00662474" w:rsidP="00874F8E">
      <w:pPr>
        <w:spacing w:after="120"/>
        <w:rPr>
          <w:rFonts w:ascii="Times New Roman" w:hAnsi="Times New Roman" w:cs="Times New Roman"/>
          <w:color w:val="0C5CA8"/>
          <w:sz w:val="28"/>
          <w:szCs w:val="24"/>
          <w:lang w:val="en-GB"/>
        </w:rPr>
      </w:pPr>
    </w:p>
    <w:p w14:paraId="4F94F6BC" w14:textId="572D790A" w:rsidR="00662474" w:rsidRPr="00B96EDC" w:rsidRDefault="00662474" w:rsidP="00874F8E">
      <w:pPr>
        <w:spacing w:after="120"/>
        <w:rPr>
          <w:rFonts w:ascii="Times New Roman" w:hAnsi="Times New Roman" w:cs="Times New Roman"/>
          <w:color w:val="auto"/>
          <w:sz w:val="28"/>
          <w:szCs w:val="24"/>
          <w:lang w:val="en-GB"/>
        </w:rPr>
      </w:pPr>
      <w:r w:rsidRPr="00B96EDC">
        <w:rPr>
          <w:rFonts w:ascii="Times New Roman" w:hAnsi="Times New Roman" w:cs="Times New Roman"/>
          <w:color w:val="auto"/>
          <w:sz w:val="28"/>
          <w:szCs w:val="24"/>
          <w:lang w:val="en-GB"/>
        </w:rPr>
        <w:t>June 2021</w:t>
      </w:r>
    </w:p>
    <w:p w14:paraId="068965DA" w14:textId="77777777" w:rsidR="00662474" w:rsidRPr="00B96EDC" w:rsidRDefault="00662474" w:rsidP="00874F8E">
      <w:pPr>
        <w:spacing w:after="120"/>
        <w:ind w:right="0"/>
        <w:rPr>
          <w:rFonts w:ascii="Times New Roman" w:hAnsi="Times New Roman" w:cs="Times New Roman"/>
          <w:sz w:val="28"/>
          <w:szCs w:val="24"/>
          <w:lang w:val="en-GB"/>
        </w:rPr>
      </w:pPr>
      <w:r w:rsidRPr="00B96EDC">
        <w:rPr>
          <w:rFonts w:ascii="Times New Roman" w:hAnsi="Times New Roman" w:cs="Times New Roman"/>
          <w:sz w:val="28"/>
          <w:szCs w:val="24"/>
          <w:lang w:val="en-GB"/>
        </w:rPr>
        <w:br w:type="page"/>
      </w:r>
    </w:p>
    <w:p w14:paraId="658C2253" w14:textId="25AA8CC4" w:rsidR="00662474" w:rsidRPr="00B96EDC" w:rsidRDefault="00662474" w:rsidP="00874F8E">
      <w:pPr>
        <w:spacing w:after="120"/>
        <w:rPr>
          <w:rFonts w:ascii="Times New Roman" w:hAnsi="Times New Roman" w:cs="Times New Roman"/>
          <w:b/>
          <w:i/>
          <w:color w:val="0C5CA8"/>
          <w:sz w:val="28"/>
          <w:szCs w:val="24"/>
          <w:lang w:val="en-GB"/>
        </w:rPr>
      </w:pPr>
      <w:r w:rsidRPr="00B96EDC">
        <w:rPr>
          <w:rFonts w:ascii="Times New Roman" w:hAnsi="Times New Roman" w:cs="Times New Roman"/>
          <w:b/>
          <w:i/>
          <w:color w:val="0C5CA8"/>
          <w:sz w:val="28"/>
          <w:szCs w:val="24"/>
          <w:lang w:val="en-GB"/>
        </w:rPr>
        <w:lastRenderedPageBreak/>
        <w:t>About Slovak National Centre for Human Rights:</w:t>
      </w:r>
    </w:p>
    <w:p w14:paraId="4C0DB24D" w14:textId="048E92C9" w:rsidR="00662474" w:rsidRPr="00B96EDC" w:rsidRDefault="00662474" w:rsidP="00874F8E">
      <w:pPr>
        <w:spacing w:after="120"/>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 xml:space="preserve">Slovak National Centre for Human Rights (the “Centre”) is a national human rights institution established in the Slovak Republic, accredited with status B by the Global Alliance of National Human Rights Institutions.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Anti-Discrimination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447E203E" w14:textId="77777777" w:rsidR="00662474" w:rsidRPr="00B96EDC" w:rsidRDefault="00662474" w:rsidP="00874F8E">
      <w:pPr>
        <w:spacing w:after="120"/>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 xml:space="preserve">The Centre among other powers: </w:t>
      </w:r>
    </w:p>
    <w:p w14:paraId="35A7D66C" w14:textId="77777777" w:rsidR="00662474" w:rsidRPr="00B96EDC" w:rsidRDefault="00662474" w:rsidP="00874F8E">
      <w:pPr>
        <w:spacing w:after="120"/>
        <w:ind w:left="705" w:hanging="705"/>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1)</w:t>
      </w:r>
      <w:r w:rsidRPr="00B96EDC">
        <w:rPr>
          <w:rFonts w:ascii="Times New Roman" w:hAnsi="Times New Roman" w:cs="Times New Roman"/>
          <w:i/>
          <w:color w:val="auto"/>
          <w:sz w:val="24"/>
          <w:szCs w:val="24"/>
          <w:lang w:val="en-GB"/>
        </w:rPr>
        <w:tab/>
        <w:t>monitors and evaluates the observance of human rights and the observance of equal treatment principle;</w:t>
      </w:r>
    </w:p>
    <w:p w14:paraId="02D9B64B" w14:textId="77777777" w:rsidR="00662474" w:rsidRPr="00B96EDC" w:rsidRDefault="00662474" w:rsidP="00874F8E">
      <w:pPr>
        <w:spacing w:after="120"/>
        <w:ind w:left="705" w:hanging="705"/>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2)</w:t>
      </w:r>
      <w:r w:rsidRPr="00B96EDC">
        <w:rPr>
          <w:rFonts w:ascii="Times New Roman" w:hAnsi="Times New Roman" w:cs="Times New Roman"/>
          <w:i/>
          <w:color w:val="auto"/>
          <w:sz w:val="24"/>
          <w:szCs w:val="24"/>
          <w:lang w:val="en-GB"/>
        </w:rPr>
        <w:tab/>
        <w:t>gathers and, upon request, provides information on racism, xenophobia and antisemitism in the Slovak Republic;</w:t>
      </w:r>
    </w:p>
    <w:p w14:paraId="7533128A" w14:textId="77777777" w:rsidR="00662474" w:rsidRPr="00B96EDC" w:rsidRDefault="00662474" w:rsidP="00874F8E">
      <w:pPr>
        <w:spacing w:after="120"/>
        <w:ind w:left="705" w:hanging="705"/>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 xml:space="preserve">3) </w:t>
      </w:r>
      <w:r w:rsidRPr="00B96EDC">
        <w:rPr>
          <w:rFonts w:ascii="Times New Roman" w:hAnsi="Times New Roman" w:cs="Times New Roman"/>
          <w:i/>
          <w:color w:val="auto"/>
          <w:sz w:val="24"/>
          <w:szCs w:val="24"/>
          <w:lang w:val="en-GB"/>
        </w:rPr>
        <w:tab/>
        <w:t xml:space="preserve">conducts research and surveys to provide data in the field of human rights; gathers and distributes information in this area; </w:t>
      </w:r>
    </w:p>
    <w:p w14:paraId="435B3A49" w14:textId="77777777" w:rsidR="00662474" w:rsidRPr="00B96EDC" w:rsidRDefault="00662474" w:rsidP="00874F8E">
      <w:pPr>
        <w:spacing w:after="120"/>
        <w:ind w:left="705" w:hanging="705"/>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 xml:space="preserve">4) </w:t>
      </w:r>
      <w:r w:rsidRPr="00B96EDC">
        <w:rPr>
          <w:rFonts w:ascii="Times New Roman" w:hAnsi="Times New Roman" w:cs="Times New Roman"/>
          <w:i/>
          <w:color w:val="auto"/>
          <w:sz w:val="24"/>
          <w:szCs w:val="24"/>
          <w:lang w:val="en-GB"/>
        </w:rPr>
        <w:tab/>
        <w:t xml:space="preserve">prepares educational activities and participates in information campaigns aimed at increasing tolerance of the society; </w:t>
      </w:r>
    </w:p>
    <w:p w14:paraId="1DD7E08F" w14:textId="77777777" w:rsidR="00662474" w:rsidRPr="00B96EDC" w:rsidRDefault="00662474" w:rsidP="00874F8E">
      <w:pPr>
        <w:spacing w:after="120"/>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 xml:space="preserve">5) </w:t>
      </w:r>
      <w:r w:rsidRPr="00B96EDC">
        <w:rPr>
          <w:rFonts w:ascii="Times New Roman" w:hAnsi="Times New Roman" w:cs="Times New Roman"/>
          <w:i/>
          <w:color w:val="auto"/>
          <w:sz w:val="24"/>
          <w:szCs w:val="24"/>
          <w:lang w:val="en-GB"/>
        </w:rPr>
        <w:tab/>
        <w:t xml:space="preserve">provides legal assistance to victims of discrimination and manifestations of intolerance; </w:t>
      </w:r>
    </w:p>
    <w:p w14:paraId="7DCE7FD9" w14:textId="77777777" w:rsidR="00662474" w:rsidRPr="00B96EDC" w:rsidRDefault="00662474" w:rsidP="00874F8E">
      <w:pPr>
        <w:spacing w:after="120"/>
        <w:ind w:left="705" w:hanging="705"/>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6)</w:t>
      </w:r>
      <w:r w:rsidRPr="00B96EDC">
        <w:rPr>
          <w:rFonts w:ascii="Times New Roman" w:hAnsi="Times New Roman" w:cs="Times New Roman"/>
          <w:i/>
          <w:color w:val="auto"/>
          <w:sz w:val="24"/>
          <w:szCs w:val="24"/>
          <w:lang w:val="en-GB"/>
        </w:rPr>
        <w:tab/>
        <w:t xml:space="preserve">issues expert opinions on matters concerning the observance of the equal treatment principle; </w:t>
      </w:r>
    </w:p>
    <w:p w14:paraId="760BA6FB" w14:textId="77777777" w:rsidR="00662474" w:rsidRPr="00B96EDC" w:rsidRDefault="00662474" w:rsidP="00874F8E">
      <w:pPr>
        <w:spacing w:after="120"/>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 xml:space="preserve">7) </w:t>
      </w:r>
      <w:r w:rsidRPr="00B96EDC">
        <w:rPr>
          <w:rFonts w:ascii="Times New Roman" w:hAnsi="Times New Roman" w:cs="Times New Roman"/>
          <w:i/>
          <w:color w:val="auto"/>
          <w:sz w:val="24"/>
          <w:szCs w:val="24"/>
          <w:lang w:val="en-GB"/>
        </w:rPr>
        <w:tab/>
        <w:t xml:space="preserve">performs independent inquiries related to discrimination; </w:t>
      </w:r>
    </w:p>
    <w:p w14:paraId="3811F4D4" w14:textId="77777777" w:rsidR="00662474" w:rsidRPr="00B96EDC" w:rsidRDefault="00662474" w:rsidP="00874F8E">
      <w:pPr>
        <w:spacing w:after="120"/>
        <w:ind w:left="705" w:hanging="705"/>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8)</w:t>
      </w:r>
      <w:r w:rsidRPr="00B96EDC">
        <w:rPr>
          <w:rFonts w:ascii="Times New Roman" w:hAnsi="Times New Roman" w:cs="Times New Roman"/>
          <w:i/>
          <w:color w:val="auto"/>
          <w:sz w:val="24"/>
          <w:szCs w:val="24"/>
          <w:lang w:val="en-GB"/>
        </w:rPr>
        <w:tab/>
        <w:t>prepares and publishes reports and recommendations on issues related to discrimination; and</w:t>
      </w:r>
    </w:p>
    <w:p w14:paraId="23EA366B" w14:textId="77777777" w:rsidR="00662474" w:rsidRPr="00B96EDC" w:rsidRDefault="00662474" w:rsidP="00874F8E">
      <w:pPr>
        <w:spacing w:after="120"/>
        <w:jc w:val="both"/>
        <w:rPr>
          <w:rFonts w:ascii="Times New Roman" w:hAnsi="Times New Roman" w:cs="Times New Roman"/>
          <w:i/>
          <w:color w:val="auto"/>
          <w:sz w:val="24"/>
          <w:szCs w:val="24"/>
          <w:lang w:val="en-GB"/>
        </w:rPr>
      </w:pPr>
      <w:r w:rsidRPr="00B96EDC">
        <w:rPr>
          <w:rFonts w:ascii="Times New Roman" w:hAnsi="Times New Roman" w:cs="Times New Roman"/>
          <w:i/>
          <w:color w:val="auto"/>
          <w:sz w:val="24"/>
          <w:szCs w:val="24"/>
          <w:lang w:val="en-GB"/>
        </w:rPr>
        <w:t>9)</w:t>
      </w:r>
      <w:r w:rsidRPr="00B96EDC">
        <w:rPr>
          <w:rFonts w:ascii="Times New Roman" w:hAnsi="Times New Roman" w:cs="Times New Roman"/>
          <w:i/>
          <w:color w:val="auto"/>
          <w:sz w:val="24"/>
          <w:szCs w:val="24"/>
          <w:lang w:val="en-GB"/>
        </w:rPr>
        <w:tab/>
        <w:t>provides library services and other services in the field of human rights.</w:t>
      </w:r>
    </w:p>
    <w:p w14:paraId="6B3672B2" w14:textId="77777777" w:rsidR="00662474" w:rsidRPr="00B96EDC" w:rsidRDefault="00662474" w:rsidP="00874F8E">
      <w:pPr>
        <w:spacing w:after="120"/>
        <w:jc w:val="both"/>
        <w:rPr>
          <w:rFonts w:ascii="Times New Roman" w:hAnsi="Times New Roman" w:cs="Times New Roman"/>
          <w:i/>
          <w:sz w:val="24"/>
          <w:szCs w:val="24"/>
          <w:lang w:val="en-GB"/>
        </w:rPr>
      </w:pPr>
    </w:p>
    <w:p w14:paraId="22DB0FFA" w14:textId="77777777" w:rsidR="00662474" w:rsidRPr="00B96EDC" w:rsidRDefault="00662474" w:rsidP="00874F8E">
      <w:pPr>
        <w:spacing w:after="120"/>
        <w:jc w:val="both"/>
        <w:rPr>
          <w:rFonts w:ascii="Times New Roman" w:hAnsi="Times New Roman" w:cs="Times New Roman"/>
          <w:i/>
          <w:sz w:val="24"/>
          <w:szCs w:val="24"/>
          <w:lang w:val="en-GB"/>
        </w:rPr>
      </w:pPr>
    </w:p>
    <w:p w14:paraId="6A9FC744" w14:textId="406465E1" w:rsidR="00662474" w:rsidRPr="00B96EDC" w:rsidRDefault="00662474" w:rsidP="00874F8E">
      <w:pPr>
        <w:spacing w:after="120"/>
        <w:jc w:val="both"/>
        <w:rPr>
          <w:rFonts w:ascii="Times New Roman" w:hAnsi="Times New Roman" w:cs="Times New Roman"/>
          <w:i/>
          <w:color w:val="auto"/>
          <w:sz w:val="24"/>
          <w:szCs w:val="24"/>
          <w:lang w:val="en-GB"/>
        </w:rPr>
      </w:pPr>
    </w:p>
    <w:p w14:paraId="0EAC5CBD" w14:textId="77777777" w:rsidR="00662474" w:rsidRPr="00B96EDC" w:rsidRDefault="00662474" w:rsidP="00874F8E">
      <w:pPr>
        <w:spacing w:after="120"/>
        <w:jc w:val="both"/>
        <w:rPr>
          <w:rFonts w:ascii="Times New Roman" w:hAnsi="Times New Roman" w:cs="Times New Roman"/>
          <w:i/>
          <w:color w:val="auto"/>
          <w:sz w:val="24"/>
          <w:szCs w:val="24"/>
          <w:lang w:val="en-GB"/>
        </w:rPr>
      </w:pPr>
    </w:p>
    <w:p w14:paraId="78D5D486" w14:textId="53EEDD68" w:rsidR="00D7705D" w:rsidRPr="00B96EDC" w:rsidRDefault="00662474" w:rsidP="00874F8E">
      <w:pPr>
        <w:spacing w:after="120"/>
        <w:ind w:left="1410" w:hanging="1410"/>
        <w:jc w:val="both"/>
        <w:rPr>
          <w:rFonts w:ascii="Times New Roman" w:hAnsi="Times New Roman" w:cs="Times New Roman"/>
          <w:i/>
          <w:color w:val="auto"/>
          <w:sz w:val="24"/>
          <w:szCs w:val="24"/>
          <w:lang w:val="en-GB"/>
        </w:rPr>
      </w:pPr>
      <w:r w:rsidRPr="00B96EDC">
        <w:rPr>
          <w:rFonts w:ascii="Times New Roman" w:hAnsi="Times New Roman" w:cs="Times New Roman"/>
          <w:b/>
          <w:i/>
          <w:color w:val="auto"/>
          <w:sz w:val="24"/>
          <w:szCs w:val="24"/>
          <w:lang w:val="en-GB"/>
        </w:rPr>
        <w:t>Contact:</w:t>
      </w:r>
      <w:r w:rsidRPr="00B96EDC">
        <w:rPr>
          <w:rFonts w:ascii="Times New Roman" w:hAnsi="Times New Roman" w:cs="Times New Roman"/>
          <w:i/>
          <w:color w:val="auto"/>
          <w:sz w:val="24"/>
          <w:szCs w:val="24"/>
          <w:lang w:val="en-GB"/>
        </w:rPr>
        <w:tab/>
        <w:t xml:space="preserve">Ms. Beáta Babačova, Legal Expert for External Relations, babacova@snslp.sk, +421 908 835 932, </w:t>
      </w:r>
      <w:hyperlink r:id="rId8" w:history="1">
        <w:r w:rsidR="00D7705D" w:rsidRPr="00B96EDC">
          <w:rPr>
            <w:rStyle w:val="Hypertextovprepojenie"/>
            <w:rFonts w:ascii="Times New Roman" w:hAnsi="Times New Roman" w:cs="Times New Roman"/>
            <w:i/>
            <w:color w:val="auto"/>
            <w:sz w:val="24"/>
            <w:szCs w:val="24"/>
            <w:lang w:val="en-GB"/>
          </w:rPr>
          <w:t>www.snslp.sk</w:t>
        </w:r>
      </w:hyperlink>
    </w:p>
    <w:p w14:paraId="0DB0CD9B" w14:textId="77777777" w:rsidR="00D7705D" w:rsidRPr="00B96EDC" w:rsidRDefault="00D7705D" w:rsidP="00874F8E">
      <w:pPr>
        <w:spacing w:after="120"/>
        <w:ind w:right="0"/>
        <w:rPr>
          <w:rFonts w:ascii="Times New Roman" w:hAnsi="Times New Roman" w:cs="Times New Roman"/>
          <w:i/>
          <w:sz w:val="24"/>
          <w:szCs w:val="24"/>
          <w:lang w:val="en-GB"/>
        </w:rPr>
      </w:pPr>
      <w:r w:rsidRPr="00B96EDC">
        <w:rPr>
          <w:rFonts w:ascii="Times New Roman" w:hAnsi="Times New Roman" w:cs="Times New Roman"/>
          <w:i/>
          <w:sz w:val="24"/>
          <w:szCs w:val="24"/>
          <w:lang w:val="en-GB"/>
        </w:rPr>
        <w:br w:type="page"/>
      </w:r>
    </w:p>
    <w:p w14:paraId="0AF15E44" w14:textId="18643399" w:rsidR="00D7705D" w:rsidRPr="00B96EDC" w:rsidRDefault="00D7705D" w:rsidP="00874F8E">
      <w:pPr>
        <w:spacing w:after="120"/>
        <w:jc w:val="both"/>
        <w:rPr>
          <w:rFonts w:ascii="Times New Roman" w:hAnsi="Times New Roman" w:cs="Times New Roman"/>
          <w:b/>
          <w:color w:val="0C5CA8"/>
          <w:sz w:val="28"/>
          <w:szCs w:val="28"/>
          <w:lang w:val="en-GB"/>
        </w:rPr>
      </w:pPr>
      <w:r w:rsidRPr="00B96EDC">
        <w:rPr>
          <w:rFonts w:ascii="Times New Roman" w:hAnsi="Times New Roman" w:cs="Times New Roman"/>
          <w:b/>
          <w:color w:val="0C5CA8"/>
          <w:sz w:val="28"/>
          <w:szCs w:val="28"/>
          <w:lang w:val="en-GB"/>
        </w:rPr>
        <w:lastRenderedPageBreak/>
        <w:t>1.</w:t>
      </w:r>
      <w:r w:rsidRPr="00B96EDC">
        <w:rPr>
          <w:rFonts w:ascii="Times New Roman" w:hAnsi="Times New Roman" w:cs="Times New Roman"/>
          <w:b/>
          <w:color w:val="0C5CA8"/>
          <w:sz w:val="28"/>
          <w:szCs w:val="28"/>
          <w:lang w:val="en-GB"/>
        </w:rPr>
        <w:tab/>
        <w:t>INTRODUCTION</w:t>
      </w:r>
    </w:p>
    <w:p w14:paraId="44FCEEAF" w14:textId="6EC3E8EA" w:rsidR="00D7705D" w:rsidRPr="00B96EDC" w:rsidRDefault="00D7705D"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This report has been prepared by the Centre utilizing the first-hand information gathered (i) during the annual monitoring and evaluation of the observance of human rights, fundamental freedoms and equal treatment principle, (ii) gathered as a part of providing legal services for victims of discrimination and (iii) gathered as a part of conducting research and providing education on human rights. In respect to annual evaluation of the observance of human rights, fundamental freedoms and principle of equal treatment, the Centre has been regularly consulting key stakeholders such as civil society organizations, academia, public authorities, think thanks, media, businesses, </w:t>
      </w:r>
      <w:r w:rsidR="00537947" w:rsidRPr="00B96EDC">
        <w:rPr>
          <w:rFonts w:ascii="Times New Roman" w:hAnsi="Times New Roman" w:cs="Times New Roman"/>
          <w:color w:val="auto"/>
          <w:sz w:val="24"/>
          <w:szCs w:val="24"/>
          <w:lang w:val="en-GB"/>
        </w:rPr>
        <w:t xml:space="preserve">chambers, social services providers and healthcare providers. </w:t>
      </w:r>
      <w:r w:rsidRPr="00B96EDC">
        <w:rPr>
          <w:rFonts w:ascii="Times New Roman" w:hAnsi="Times New Roman" w:cs="Times New Roman"/>
          <w:color w:val="auto"/>
          <w:sz w:val="24"/>
          <w:szCs w:val="24"/>
          <w:lang w:val="en-GB"/>
        </w:rPr>
        <w:t>The information gathered during the monitoring has been utilized in this report.</w:t>
      </w:r>
    </w:p>
    <w:p w14:paraId="26FC2B5F" w14:textId="415CE9BE" w:rsidR="00972106" w:rsidRDefault="00972106"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The alternative report of the Centre reflects on the 11</w:t>
      </w:r>
      <w:r w:rsidRPr="00B96EDC">
        <w:rPr>
          <w:rFonts w:ascii="Times New Roman" w:hAnsi="Times New Roman" w:cs="Times New Roman"/>
          <w:color w:val="auto"/>
          <w:sz w:val="24"/>
          <w:szCs w:val="24"/>
          <w:vertAlign w:val="superscript"/>
          <w:lang w:val="en-GB"/>
        </w:rPr>
        <w:t>th</w:t>
      </w:r>
      <w:r w:rsidRPr="00B96EDC">
        <w:rPr>
          <w:rFonts w:ascii="Times New Roman" w:hAnsi="Times New Roman" w:cs="Times New Roman"/>
          <w:color w:val="auto"/>
          <w:sz w:val="24"/>
          <w:szCs w:val="24"/>
          <w:lang w:val="en-GB"/>
        </w:rPr>
        <w:t xml:space="preserve"> national report of the Slovak Republic on the implementation of the European Social Charter as submitted to and registered by the secretariat of the European Committee of Social Rights </w:t>
      </w:r>
      <w:r w:rsidR="00B01561" w:rsidRPr="00B96EDC">
        <w:rPr>
          <w:rFonts w:ascii="Times New Roman" w:hAnsi="Times New Roman" w:cs="Times New Roman"/>
          <w:color w:val="auto"/>
          <w:sz w:val="24"/>
          <w:szCs w:val="24"/>
          <w:lang w:val="en-GB"/>
        </w:rPr>
        <w:t>as well as the 2017 Conclusions of the European Committee for Social Rights Relating to Articles from Thematic Group – Health, Social Security and Social Protection concerning the Slovak Republic.</w:t>
      </w:r>
    </w:p>
    <w:p w14:paraId="24800547" w14:textId="5F1298DC" w:rsidR="004A2479" w:rsidRPr="00B96EDC" w:rsidRDefault="004A2479" w:rsidP="00874F8E">
      <w:pPr>
        <w:spacing w:after="120"/>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In this report, the Centre focuses especially on the right to health – Article 11(1) and Article 11(2) and right of elderly to social protection – Article 23.</w:t>
      </w:r>
    </w:p>
    <w:p w14:paraId="199A4474" w14:textId="39DEF710" w:rsidR="00B01561" w:rsidRPr="00B96EDC" w:rsidRDefault="00B01561" w:rsidP="00874F8E">
      <w:pPr>
        <w:spacing w:after="120"/>
        <w:ind w:right="0"/>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br w:type="page"/>
      </w:r>
    </w:p>
    <w:p w14:paraId="27AC7FDF" w14:textId="7D277266" w:rsidR="00492D5A" w:rsidRPr="00B96EDC" w:rsidRDefault="00B01561" w:rsidP="00874F8E">
      <w:pPr>
        <w:spacing w:after="120"/>
        <w:jc w:val="both"/>
        <w:rPr>
          <w:rFonts w:ascii="Times New Roman" w:hAnsi="Times New Roman" w:cs="Times New Roman"/>
          <w:b/>
          <w:color w:val="0C5CA8"/>
          <w:sz w:val="24"/>
          <w:szCs w:val="24"/>
          <w:lang w:val="en-GB"/>
        </w:rPr>
      </w:pPr>
      <w:r w:rsidRPr="00B96EDC">
        <w:rPr>
          <w:rFonts w:ascii="Times New Roman" w:hAnsi="Times New Roman" w:cs="Times New Roman"/>
          <w:b/>
          <w:color w:val="0C5CA8"/>
          <w:sz w:val="24"/>
          <w:szCs w:val="24"/>
          <w:lang w:val="en-GB"/>
        </w:rPr>
        <w:lastRenderedPageBreak/>
        <w:t>ARTICLE 11 – THE RIGHT TO HEALTH</w:t>
      </w:r>
    </w:p>
    <w:p w14:paraId="2CC7E85F" w14:textId="77777777" w:rsidR="006E638D" w:rsidRPr="00B96EDC" w:rsidRDefault="006E638D" w:rsidP="00874F8E">
      <w:pPr>
        <w:spacing w:after="120"/>
        <w:jc w:val="both"/>
        <w:rPr>
          <w:rFonts w:ascii="Times New Roman" w:hAnsi="Times New Roman" w:cs="Times New Roman"/>
          <w:b/>
          <w:color w:val="0C5CA8"/>
          <w:sz w:val="24"/>
          <w:szCs w:val="24"/>
          <w:lang w:val="en-GB"/>
        </w:rPr>
      </w:pPr>
    </w:p>
    <w:p w14:paraId="5364461C" w14:textId="38BE8566" w:rsidR="00D54D65" w:rsidRPr="00B96EDC" w:rsidRDefault="00492D5A" w:rsidP="00874F8E">
      <w:pPr>
        <w:spacing w:after="120"/>
        <w:jc w:val="both"/>
        <w:rPr>
          <w:rFonts w:ascii="Times New Roman" w:hAnsi="Times New Roman" w:cs="Times New Roman"/>
          <w:b/>
          <w:color w:val="0C5CA8"/>
          <w:sz w:val="24"/>
          <w:szCs w:val="24"/>
          <w:lang w:val="en-GB"/>
        </w:rPr>
      </w:pPr>
      <w:r w:rsidRPr="00B96EDC">
        <w:rPr>
          <w:rFonts w:ascii="Times New Roman" w:hAnsi="Times New Roman" w:cs="Times New Roman"/>
          <w:b/>
          <w:color w:val="0C5CA8"/>
          <w:sz w:val="24"/>
          <w:szCs w:val="24"/>
          <w:lang w:val="en-GB"/>
        </w:rPr>
        <w:t>Article 11 (1)</w:t>
      </w:r>
      <w:r w:rsidR="009A0646" w:rsidRPr="00B96EDC">
        <w:rPr>
          <w:rFonts w:ascii="Times New Roman" w:hAnsi="Times New Roman" w:cs="Times New Roman"/>
          <w:b/>
          <w:color w:val="0C5CA8"/>
          <w:sz w:val="24"/>
          <w:szCs w:val="24"/>
          <w:lang w:val="en-GB"/>
        </w:rPr>
        <w:t xml:space="preserve"> </w:t>
      </w:r>
    </w:p>
    <w:p w14:paraId="00107E76" w14:textId="3FC8A22C" w:rsidR="009A0646" w:rsidRPr="00B96EDC" w:rsidRDefault="009A0646"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b/>
          <w:color w:val="0C5CA8"/>
          <w:sz w:val="24"/>
          <w:szCs w:val="24"/>
          <w:lang w:val="en-GB"/>
        </w:rPr>
        <w:t xml:space="preserve">To remove as far as possible, the causes of ill-health. </w:t>
      </w:r>
    </w:p>
    <w:p w14:paraId="179656DF" w14:textId="77777777" w:rsidR="00422703" w:rsidRPr="00B96EDC" w:rsidRDefault="00422703" w:rsidP="00E04D8E">
      <w:pPr>
        <w:spacing w:after="120"/>
        <w:jc w:val="both"/>
        <w:rPr>
          <w:rFonts w:ascii="Times New Roman" w:hAnsi="Times New Roman" w:cs="Times New Roman"/>
          <w:b/>
          <w:color w:val="auto"/>
          <w:sz w:val="24"/>
          <w:szCs w:val="24"/>
          <w:lang w:val="en-GB"/>
        </w:rPr>
      </w:pPr>
    </w:p>
    <w:p w14:paraId="55FECD07" w14:textId="4AA78496" w:rsidR="00E04D8E" w:rsidRPr="00B96EDC" w:rsidRDefault="00422703" w:rsidP="00E04D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A)</w:t>
      </w:r>
      <w:r w:rsidRPr="00B96EDC">
        <w:rPr>
          <w:rFonts w:ascii="Times New Roman" w:hAnsi="Times New Roman" w:cs="Times New Roman"/>
          <w:b/>
          <w:color w:val="auto"/>
          <w:sz w:val="24"/>
          <w:szCs w:val="24"/>
          <w:lang w:val="en-GB"/>
        </w:rPr>
        <w:tab/>
        <w:t>LIFE EXPECTANCY ACROSS THE COUNTRY.</w:t>
      </w:r>
    </w:p>
    <w:p w14:paraId="3A6EE3CD" w14:textId="013F9063" w:rsidR="00D34694" w:rsidRPr="00B96EDC" w:rsidRDefault="00125F6C"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w:t>
      </w:r>
      <w:r w:rsidRPr="00B96EDC">
        <w:rPr>
          <w:rFonts w:ascii="Times New Roman" w:hAnsi="Times New Roman" w:cs="Times New Roman"/>
          <w:color w:val="auto"/>
          <w:sz w:val="24"/>
          <w:szCs w:val="24"/>
          <w:lang w:val="en-GB"/>
        </w:rPr>
        <w:tab/>
      </w:r>
      <w:r w:rsidR="00E04D8E" w:rsidRPr="00B96EDC">
        <w:rPr>
          <w:rFonts w:ascii="Times New Roman" w:hAnsi="Times New Roman" w:cs="Times New Roman"/>
          <w:color w:val="auto"/>
          <w:sz w:val="24"/>
          <w:szCs w:val="24"/>
          <w:lang w:val="en-GB"/>
        </w:rPr>
        <w:t xml:space="preserve">The life expectancy </w:t>
      </w:r>
      <w:r w:rsidR="00F56205" w:rsidRPr="00B96EDC">
        <w:rPr>
          <w:rFonts w:ascii="Times New Roman" w:hAnsi="Times New Roman" w:cs="Times New Roman"/>
          <w:color w:val="auto"/>
          <w:sz w:val="24"/>
          <w:szCs w:val="24"/>
          <w:lang w:val="en-GB"/>
        </w:rPr>
        <w:t xml:space="preserve">at birth </w:t>
      </w:r>
      <w:r w:rsidR="001031CD" w:rsidRPr="00B96EDC">
        <w:rPr>
          <w:rFonts w:ascii="Times New Roman" w:hAnsi="Times New Roman" w:cs="Times New Roman"/>
          <w:color w:val="auto"/>
          <w:sz w:val="24"/>
          <w:szCs w:val="24"/>
          <w:lang w:val="en-GB"/>
        </w:rPr>
        <w:t>has</w:t>
      </w:r>
      <w:r w:rsidR="008D4996" w:rsidRPr="00B96EDC">
        <w:rPr>
          <w:rFonts w:ascii="Times New Roman" w:hAnsi="Times New Roman" w:cs="Times New Roman"/>
          <w:color w:val="auto"/>
          <w:sz w:val="24"/>
          <w:szCs w:val="24"/>
          <w:lang w:val="en-GB"/>
        </w:rPr>
        <w:t xml:space="preserve"> been steadily increasing over the</w:t>
      </w:r>
      <w:r w:rsidR="001031CD" w:rsidRPr="00B96EDC">
        <w:rPr>
          <w:rFonts w:ascii="Times New Roman" w:hAnsi="Times New Roman" w:cs="Times New Roman"/>
          <w:color w:val="auto"/>
          <w:sz w:val="24"/>
          <w:szCs w:val="24"/>
          <w:lang w:val="en-GB"/>
        </w:rPr>
        <w:t xml:space="preserve"> recent</w:t>
      </w:r>
      <w:r w:rsidR="008D4996" w:rsidRPr="00B96EDC">
        <w:rPr>
          <w:rFonts w:ascii="Times New Roman" w:hAnsi="Times New Roman" w:cs="Times New Roman"/>
          <w:color w:val="auto"/>
          <w:sz w:val="24"/>
          <w:szCs w:val="24"/>
          <w:lang w:val="en-GB"/>
        </w:rPr>
        <w:t xml:space="preserve"> years</w:t>
      </w:r>
      <w:r w:rsidR="00405FB6" w:rsidRPr="00B96EDC">
        <w:rPr>
          <w:rFonts w:ascii="Times New Roman" w:hAnsi="Times New Roman" w:cs="Times New Roman"/>
          <w:color w:val="auto"/>
          <w:sz w:val="24"/>
          <w:szCs w:val="24"/>
          <w:lang w:val="en-GB"/>
        </w:rPr>
        <w:t>. In comparison with the E</w:t>
      </w:r>
      <w:r w:rsidR="00FD580F" w:rsidRPr="00B96EDC">
        <w:rPr>
          <w:rFonts w:ascii="Times New Roman" w:hAnsi="Times New Roman" w:cs="Times New Roman"/>
          <w:color w:val="auto"/>
          <w:sz w:val="24"/>
          <w:szCs w:val="24"/>
          <w:lang w:val="en-GB"/>
        </w:rPr>
        <w:t xml:space="preserve">uropean </w:t>
      </w:r>
      <w:r w:rsidR="00405FB6" w:rsidRPr="00B96EDC">
        <w:rPr>
          <w:rFonts w:ascii="Times New Roman" w:hAnsi="Times New Roman" w:cs="Times New Roman"/>
          <w:color w:val="auto"/>
          <w:sz w:val="24"/>
          <w:szCs w:val="24"/>
          <w:lang w:val="en-GB"/>
        </w:rPr>
        <w:t>U</w:t>
      </w:r>
      <w:r w:rsidR="00FD580F" w:rsidRPr="00B96EDC">
        <w:rPr>
          <w:rFonts w:ascii="Times New Roman" w:hAnsi="Times New Roman" w:cs="Times New Roman"/>
          <w:color w:val="auto"/>
          <w:sz w:val="24"/>
          <w:szCs w:val="24"/>
          <w:lang w:val="en-GB"/>
        </w:rPr>
        <w:t>nion (EU)</w:t>
      </w:r>
      <w:r w:rsidR="00264684" w:rsidRPr="00B96EDC">
        <w:rPr>
          <w:rFonts w:ascii="Times New Roman" w:hAnsi="Times New Roman" w:cs="Times New Roman"/>
          <w:color w:val="auto"/>
          <w:sz w:val="24"/>
          <w:szCs w:val="24"/>
          <w:lang w:val="en-GB"/>
        </w:rPr>
        <w:t xml:space="preserve"> average, the progression in respect to</w:t>
      </w:r>
      <w:r w:rsidR="00405FB6" w:rsidRPr="00B96EDC">
        <w:rPr>
          <w:rFonts w:ascii="Times New Roman" w:hAnsi="Times New Roman" w:cs="Times New Roman"/>
          <w:color w:val="auto"/>
          <w:sz w:val="24"/>
          <w:szCs w:val="24"/>
          <w:lang w:val="en-GB"/>
        </w:rPr>
        <w:t xml:space="preserve"> the life expectancy at birth </w:t>
      </w:r>
      <w:r w:rsidR="00264684" w:rsidRPr="00B96EDC">
        <w:rPr>
          <w:rFonts w:ascii="Times New Roman" w:hAnsi="Times New Roman" w:cs="Times New Roman"/>
          <w:color w:val="auto"/>
          <w:sz w:val="24"/>
          <w:szCs w:val="24"/>
          <w:lang w:val="en-GB"/>
        </w:rPr>
        <w:t>has been slightly above the EU increase.</w:t>
      </w:r>
      <w:r w:rsidR="00264684" w:rsidRPr="00B96EDC">
        <w:rPr>
          <w:rStyle w:val="Odkaznapoznmkupodiarou"/>
          <w:rFonts w:ascii="Times New Roman" w:hAnsi="Times New Roman" w:cs="Times New Roman"/>
          <w:color w:val="auto"/>
          <w:sz w:val="24"/>
          <w:szCs w:val="24"/>
          <w:lang w:val="en-GB"/>
        </w:rPr>
        <w:footnoteReference w:id="1"/>
      </w:r>
      <w:r w:rsidR="00264684" w:rsidRPr="00B96EDC">
        <w:rPr>
          <w:rFonts w:ascii="Times New Roman" w:hAnsi="Times New Roman" w:cs="Times New Roman"/>
          <w:color w:val="auto"/>
          <w:sz w:val="24"/>
          <w:szCs w:val="24"/>
          <w:lang w:val="en-GB"/>
        </w:rPr>
        <w:t xml:space="preserve"> </w:t>
      </w:r>
      <w:r w:rsidR="008D4996" w:rsidRPr="00B96EDC">
        <w:rPr>
          <w:rFonts w:ascii="Times New Roman" w:hAnsi="Times New Roman" w:cs="Times New Roman"/>
          <w:color w:val="auto"/>
          <w:sz w:val="24"/>
          <w:szCs w:val="24"/>
          <w:lang w:val="en-GB"/>
        </w:rPr>
        <w:t>However, the health life expectancy for</w:t>
      </w:r>
      <w:r w:rsidR="00CE0E14" w:rsidRPr="00B96EDC">
        <w:rPr>
          <w:rFonts w:ascii="Times New Roman" w:hAnsi="Times New Roman" w:cs="Times New Roman"/>
          <w:color w:val="auto"/>
          <w:sz w:val="24"/>
          <w:szCs w:val="24"/>
          <w:lang w:val="en-GB"/>
        </w:rPr>
        <w:t xml:space="preserve"> both –</w:t>
      </w:r>
      <w:r w:rsidR="008D4996" w:rsidRPr="00B96EDC">
        <w:rPr>
          <w:rFonts w:ascii="Times New Roman" w:hAnsi="Times New Roman" w:cs="Times New Roman"/>
          <w:color w:val="auto"/>
          <w:sz w:val="24"/>
          <w:szCs w:val="24"/>
          <w:lang w:val="en-GB"/>
        </w:rPr>
        <w:t xml:space="preserve"> males and females stagnates or slightly deteriorates</w:t>
      </w:r>
      <w:r w:rsidR="00CE0E14" w:rsidRPr="00B96EDC">
        <w:rPr>
          <w:rFonts w:ascii="Times New Roman" w:hAnsi="Times New Roman" w:cs="Times New Roman"/>
          <w:color w:val="auto"/>
          <w:sz w:val="24"/>
          <w:szCs w:val="24"/>
          <w:lang w:val="en-GB"/>
        </w:rPr>
        <w:t xml:space="preserve"> over the recent years</w:t>
      </w:r>
      <w:r w:rsidR="001031CD" w:rsidRPr="00B96EDC">
        <w:rPr>
          <w:rFonts w:ascii="Times New Roman" w:hAnsi="Times New Roman" w:cs="Times New Roman"/>
          <w:color w:val="auto"/>
          <w:sz w:val="24"/>
          <w:szCs w:val="24"/>
          <w:lang w:val="en-GB"/>
        </w:rPr>
        <w:t xml:space="preserve">. </w:t>
      </w:r>
      <w:r w:rsidR="00405FB6" w:rsidRPr="00B96EDC">
        <w:rPr>
          <w:rFonts w:ascii="Times New Roman" w:hAnsi="Times New Roman" w:cs="Times New Roman"/>
          <w:color w:val="auto"/>
          <w:sz w:val="24"/>
          <w:szCs w:val="24"/>
          <w:lang w:val="en-GB"/>
        </w:rPr>
        <w:t>Inhabitants of the Slovak Republic live longer, however, there are no additional years added that are spent in good health.</w:t>
      </w:r>
      <w:r w:rsidR="00405FB6" w:rsidRPr="00B96EDC">
        <w:rPr>
          <w:rStyle w:val="Odkaznapoznmkupodiarou"/>
          <w:rFonts w:ascii="Times New Roman" w:hAnsi="Times New Roman" w:cs="Times New Roman"/>
          <w:color w:val="auto"/>
          <w:sz w:val="24"/>
          <w:szCs w:val="24"/>
          <w:lang w:val="en-GB"/>
        </w:rPr>
        <w:footnoteReference w:id="2"/>
      </w:r>
    </w:p>
    <w:p w14:paraId="68302A86" w14:textId="2B2331D4" w:rsidR="008D4996" w:rsidRPr="00B96EDC" w:rsidRDefault="008D4996" w:rsidP="00E04D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 xml:space="preserve">Table No. 1: </w:t>
      </w:r>
      <w:r w:rsidRPr="00B96EDC">
        <w:rPr>
          <w:rFonts w:ascii="Times New Roman" w:hAnsi="Times New Roman" w:cs="Times New Roman"/>
          <w:i/>
          <w:color w:val="auto"/>
          <w:sz w:val="24"/>
          <w:szCs w:val="24"/>
          <w:lang w:val="en-GB"/>
        </w:rPr>
        <w:t xml:space="preserve">Life expectancy at </w:t>
      </w:r>
      <w:r w:rsidR="00F56205" w:rsidRPr="00B96EDC">
        <w:rPr>
          <w:rFonts w:ascii="Times New Roman" w:hAnsi="Times New Roman" w:cs="Times New Roman"/>
          <w:i/>
          <w:color w:val="auto"/>
          <w:sz w:val="24"/>
          <w:szCs w:val="24"/>
          <w:lang w:val="en-GB"/>
        </w:rPr>
        <w:t xml:space="preserve">birth </w:t>
      </w:r>
      <w:r w:rsidRPr="00B96EDC">
        <w:rPr>
          <w:rFonts w:ascii="Times New Roman" w:hAnsi="Times New Roman" w:cs="Times New Roman"/>
          <w:i/>
          <w:color w:val="auto"/>
          <w:sz w:val="24"/>
          <w:szCs w:val="24"/>
          <w:lang w:val="en-GB"/>
        </w:rPr>
        <w:t>in the Slovak Republic for the Years 2016 – 2019</w:t>
      </w:r>
      <w:r w:rsidRPr="00B96EDC">
        <w:rPr>
          <w:rStyle w:val="Odkaznapoznmkupodiarou"/>
          <w:rFonts w:ascii="Times New Roman" w:hAnsi="Times New Roman" w:cs="Times New Roman"/>
          <w:i/>
          <w:color w:val="auto"/>
          <w:sz w:val="24"/>
          <w:szCs w:val="24"/>
          <w:lang w:val="en-GB"/>
        </w:rPr>
        <w:footnoteReference w:id="3"/>
      </w:r>
    </w:p>
    <w:tbl>
      <w:tblPr>
        <w:tblStyle w:val="Mriekatabuky"/>
        <w:tblW w:w="0" w:type="auto"/>
        <w:tblLook w:val="04A0" w:firstRow="1" w:lastRow="0" w:firstColumn="1" w:lastColumn="0" w:noHBand="0" w:noVBand="1"/>
      </w:tblPr>
      <w:tblGrid>
        <w:gridCol w:w="1959"/>
        <w:gridCol w:w="1732"/>
        <w:gridCol w:w="1885"/>
        <w:gridCol w:w="1885"/>
        <w:gridCol w:w="1885"/>
      </w:tblGrid>
      <w:tr w:rsidR="008D4996" w:rsidRPr="00B96EDC" w14:paraId="74DE0809" w14:textId="77777777" w:rsidTr="008D4996">
        <w:tc>
          <w:tcPr>
            <w:tcW w:w="1959" w:type="dxa"/>
          </w:tcPr>
          <w:p w14:paraId="14AECE07" w14:textId="145059D1" w:rsidR="008D4996" w:rsidRPr="00B96EDC" w:rsidRDefault="008D4996" w:rsidP="00E04D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Gender</w:t>
            </w:r>
          </w:p>
        </w:tc>
        <w:tc>
          <w:tcPr>
            <w:tcW w:w="1732" w:type="dxa"/>
          </w:tcPr>
          <w:p w14:paraId="74A931A3" w14:textId="293E5744" w:rsidR="008D4996" w:rsidRPr="00B96EDC" w:rsidRDefault="008D4996" w:rsidP="00E04D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2019</w:t>
            </w:r>
          </w:p>
        </w:tc>
        <w:tc>
          <w:tcPr>
            <w:tcW w:w="1885" w:type="dxa"/>
          </w:tcPr>
          <w:p w14:paraId="1122926D" w14:textId="0F7E2048" w:rsidR="008D4996" w:rsidRPr="00B96EDC" w:rsidRDefault="008D4996" w:rsidP="00E04D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2018</w:t>
            </w:r>
          </w:p>
        </w:tc>
        <w:tc>
          <w:tcPr>
            <w:tcW w:w="1885" w:type="dxa"/>
          </w:tcPr>
          <w:p w14:paraId="765815B1" w14:textId="239CFE2C" w:rsidR="008D4996" w:rsidRPr="00B96EDC" w:rsidRDefault="008D4996" w:rsidP="00E04D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 xml:space="preserve">2017 </w:t>
            </w:r>
          </w:p>
        </w:tc>
        <w:tc>
          <w:tcPr>
            <w:tcW w:w="1885" w:type="dxa"/>
          </w:tcPr>
          <w:p w14:paraId="2C452D0D" w14:textId="54AC7A62" w:rsidR="008D4996" w:rsidRPr="00B96EDC" w:rsidRDefault="008D4996" w:rsidP="00E04D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2016</w:t>
            </w:r>
          </w:p>
        </w:tc>
      </w:tr>
      <w:tr w:rsidR="008D4996" w:rsidRPr="00B96EDC" w14:paraId="5D17822E" w14:textId="77777777" w:rsidTr="008D4996">
        <w:tc>
          <w:tcPr>
            <w:tcW w:w="1959" w:type="dxa"/>
          </w:tcPr>
          <w:p w14:paraId="04E749F1" w14:textId="5102D254"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Males</w:t>
            </w:r>
          </w:p>
        </w:tc>
        <w:tc>
          <w:tcPr>
            <w:tcW w:w="1732" w:type="dxa"/>
          </w:tcPr>
          <w:p w14:paraId="12CBDBF4" w14:textId="4A0A2009"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74,31</w:t>
            </w:r>
          </w:p>
        </w:tc>
        <w:tc>
          <w:tcPr>
            <w:tcW w:w="1885" w:type="dxa"/>
          </w:tcPr>
          <w:p w14:paraId="380C6204" w14:textId="19E21EFF"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73,71</w:t>
            </w:r>
          </w:p>
        </w:tc>
        <w:tc>
          <w:tcPr>
            <w:tcW w:w="1885" w:type="dxa"/>
          </w:tcPr>
          <w:p w14:paraId="4E190786" w14:textId="790401DE"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73,75</w:t>
            </w:r>
          </w:p>
        </w:tc>
        <w:tc>
          <w:tcPr>
            <w:tcW w:w="1885" w:type="dxa"/>
          </w:tcPr>
          <w:p w14:paraId="314271E1" w14:textId="40CD74D4"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73,71</w:t>
            </w:r>
          </w:p>
        </w:tc>
      </w:tr>
      <w:tr w:rsidR="008D4996" w:rsidRPr="00B96EDC" w14:paraId="45C2EAC3" w14:textId="77777777" w:rsidTr="008D4996">
        <w:tc>
          <w:tcPr>
            <w:tcW w:w="1959" w:type="dxa"/>
          </w:tcPr>
          <w:p w14:paraId="11E1667B" w14:textId="2BF1E7DE"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Females</w:t>
            </w:r>
          </w:p>
        </w:tc>
        <w:tc>
          <w:tcPr>
            <w:tcW w:w="1732" w:type="dxa"/>
          </w:tcPr>
          <w:p w14:paraId="7698B75D" w14:textId="2698AC3D"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80,84</w:t>
            </w:r>
          </w:p>
        </w:tc>
        <w:tc>
          <w:tcPr>
            <w:tcW w:w="1885" w:type="dxa"/>
          </w:tcPr>
          <w:p w14:paraId="0F254A2A" w14:textId="1E1D1E8B"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80,35</w:t>
            </w:r>
          </w:p>
        </w:tc>
        <w:tc>
          <w:tcPr>
            <w:tcW w:w="1885" w:type="dxa"/>
          </w:tcPr>
          <w:p w14:paraId="249AD9B1" w14:textId="3421BAD9"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80,34</w:t>
            </w:r>
          </w:p>
        </w:tc>
        <w:tc>
          <w:tcPr>
            <w:tcW w:w="1885" w:type="dxa"/>
          </w:tcPr>
          <w:p w14:paraId="639E2A20" w14:textId="06DC3792" w:rsidR="008D4996" w:rsidRPr="00B96EDC" w:rsidRDefault="008D4996" w:rsidP="00E04D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80,41</w:t>
            </w:r>
          </w:p>
        </w:tc>
      </w:tr>
    </w:tbl>
    <w:p w14:paraId="06EA80D5" w14:textId="77777777" w:rsidR="00125F6C" w:rsidRPr="00B96EDC" w:rsidRDefault="00125F6C" w:rsidP="00E04D8E">
      <w:pPr>
        <w:spacing w:after="120"/>
        <w:jc w:val="both"/>
        <w:rPr>
          <w:rFonts w:ascii="Times New Roman" w:hAnsi="Times New Roman" w:cs="Times New Roman"/>
          <w:color w:val="auto"/>
          <w:sz w:val="24"/>
          <w:szCs w:val="24"/>
          <w:lang w:val="en-GB"/>
        </w:rPr>
      </w:pPr>
    </w:p>
    <w:p w14:paraId="3B3A3914" w14:textId="2CFDDF16" w:rsidR="008D4996" w:rsidRPr="00B96EDC" w:rsidRDefault="003343EA" w:rsidP="008D4996">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Table No. 2</w:t>
      </w:r>
      <w:r w:rsidR="008D4996" w:rsidRPr="00B96EDC">
        <w:rPr>
          <w:rFonts w:ascii="Times New Roman" w:hAnsi="Times New Roman" w:cs="Times New Roman"/>
          <w:b/>
          <w:color w:val="auto"/>
          <w:sz w:val="24"/>
          <w:szCs w:val="24"/>
          <w:lang w:val="en-GB"/>
        </w:rPr>
        <w:t xml:space="preserve">: </w:t>
      </w:r>
      <w:r w:rsidR="008D4996" w:rsidRPr="00B96EDC">
        <w:rPr>
          <w:rFonts w:ascii="Times New Roman" w:hAnsi="Times New Roman" w:cs="Times New Roman"/>
          <w:i/>
          <w:color w:val="auto"/>
          <w:sz w:val="24"/>
          <w:szCs w:val="24"/>
          <w:lang w:val="en-GB"/>
        </w:rPr>
        <w:t>Health Life expectancy in the Slova</w:t>
      </w:r>
      <w:r w:rsidR="00D34694" w:rsidRPr="00B96EDC">
        <w:rPr>
          <w:rFonts w:ascii="Times New Roman" w:hAnsi="Times New Roman" w:cs="Times New Roman"/>
          <w:i/>
          <w:color w:val="auto"/>
          <w:sz w:val="24"/>
          <w:szCs w:val="24"/>
          <w:lang w:val="en-GB"/>
        </w:rPr>
        <w:t xml:space="preserve">k Republic for the years 2016 – </w:t>
      </w:r>
      <w:r w:rsidR="008D4996" w:rsidRPr="00B96EDC">
        <w:rPr>
          <w:rFonts w:ascii="Times New Roman" w:hAnsi="Times New Roman" w:cs="Times New Roman"/>
          <w:i/>
          <w:color w:val="auto"/>
          <w:sz w:val="24"/>
          <w:szCs w:val="24"/>
          <w:lang w:val="en-GB"/>
        </w:rPr>
        <w:t>2019</w:t>
      </w:r>
      <w:r w:rsidR="006E638D" w:rsidRPr="00B96EDC">
        <w:rPr>
          <w:rStyle w:val="Odkaznapoznmkupodiarou"/>
          <w:rFonts w:ascii="Times New Roman" w:hAnsi="Times New Roman" w:cs="Times New Roman"/>
          <w:i/>
          <w:color w:val="auto"/>
          <w:sz w:val="24"/>
          <w:szCs w:val="24"/>
          <w:lang w:val="en-GB"/>
        </w:rPr>
        <w:footnoteReference w:id="4"/>
      </w:r>
    </w:p>
    <w:tbl>
      <w:tblPr>
        <w:tblStyle w:val="Mriekatabuky"/>
        <w:tblW w:w="0" w:type="auto"/>
        <w:tblLook w:val="04A0" w:firstRow="1" w:lastRow="0" w:firstColumn="1" w:lastColumn="0" w:noHBand="0" w:noVBand="1"/>
      </w:tblPr>
      <w:tblGrid>
        <w:gridCol w:w="1611"/>
        <w:gridCol w:w="1635"/>
        <w:gridCol w:w="1556"/>
        <w:gridCol w:w="1556"/>
        <w:gridCol w:w="1557"/>
        <w:gridCol w:w="1431"/>
      </w:tblGrid>
      <w:tr w:rsidR="00D34694" w:rsidRPr="00B96EDC" w14:paraId="374EA9A2" w14:textId="2974CE74" w:rsidTr="00D34694">
        <w:tc>
          <w:tcPr>
            <w:tcW w:w="1611" w:type="dxa"/>
          </w:tcPr>
          <w:p w14:paraId="132400D2" w14:textId="237147B8" w:rsidR="00D34694" w:rsidRPr="00B96EDC" w:rsidRDefault="00D34694" w:rsidP="00874F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Gender</w:t>
            </w:r>
          </w:p>
        </w:tc>
        <w:tc>
          <w:tcPr>
            <w:tcW w:w="1635" w:type="dxa"/>
          </w:tcPr>
          <w:p w14:paraId="67403C66" w14:textId="0292869A" w:rsidR="00D34694" w:rsidRPr="00B96EDC" w:rsidRDefault="00D34694" w:rsidP="00874F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Age Group</w:t>
            </w:r>
          </w:p>
        </w:tc>
        <w:tc>
          <w:tcPr>
            <w:tcW w:w="1556" w:type="dxa"/>
          </w:tcPr>
          <w:p w14:paraId="2659F32B" w14:textId="7F87CE20" w:rsidR="00D34694" w:rsidRPr="00B96EDC" w:rsidRDefault="00D34694" w:rsidP="00874F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2019</w:t>
            </w:r>
          </w:p>
        </w:tc>
        <w:tc>
          <w:tcPr>
            <w:tcW w:w="1556" w:type="dxa"/>
          </w:tcPr>
          <w:p w14:paraId="63D2717D" w14:textId="109254C1" w:rsidR="00D34694" w:rsidRPr="00B96EDC" w:rsidRDefault="00D34694" w:rsidP="00874F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2018</w:t>
            </w:r>
          </w:p>
        </w:tc>
        <w:tc>
          <w:tcPr>
            <w:tcW w:w="1557" w:type="dxa"/>
          </w:tcPr>
          <w:p w14:paraId="1B58C372" w14:textId="711C9D7E" w:rsidR="00D34694" w:rsidRPr="00B96EDC" w:rsidRDefault="00D34694" w:rsidP="00874F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2017</w:t>
            </w:r>
          </w:p>
        </w:tc>
        <w:tc>
          <w:tcPr>
            <w:tcW w:w="1431" w:type="dxa"/>
          </w:tcPr>
          <w:p w14:paraId="01210745" w14:textId="5D7DAEF2" w:rsidR="00D34694" w:rsidRPr="00B96EDC" w:rsidRDefault="00D34694" w:rsidP="00874F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2016</w:t>
            </w:r>
          </w:p>
        </w:tc>
      </w:tr>
      <w:tr w:rsidR="00D34694" w:rsidRPr="00B96EDC" w14:paraId="366A5976" w14:textId="6B208E59" w:rsidTr="00D34694">
        <w:tc>
          <w:tcPr>
            <w:tcW w:w="1611" w:type="dxa"/>
          </w:tcPr>
          <w:p w14:paraId="5FCE6EB0" w14:textId="6C6B3226"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Males</w:t>
            </w:r>
          </w:p>
        </w:tc>
        <w:tc>
          <w:tcPr>
            <w:tcW w:w="1635" w:type="dxa"/>
          </w:tcPr>
          <w:p w14:paraId="0D7930AE" w14:textId="6BA7047B"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45 years </w:t>
            </w:r>
          </w:p>
        </w:tc>
        <w:tc>
          <w:tcPr>
            <w:tcW w:w="1556" w:type="dxa"/>
          </w:tcPr>
          <w:p w14:paraId="7D4D3569" w14:textId="385CB450"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13,9</w:t>
            </w:r>
          </w:p>
        </w:tc>
        <w:tc>
          <w:tcPr>
            <w:tcW w:w="1556" w:type="dxa"/>
          </w:tcPr>
          <w:p w14:paraId="1606F1D0" w14:textId="35E495FC"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13,9</w:t>
            </w:r>
          </w:p>
        </w:tc>
        <w:tc>
          <w:tcPr>
            <w:tcW w:w="1557" w:type="dxa"/>
          </w:tcPr>
          <w:p w14:paraId="237764FF" w14:textId="69655531"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13,9</w:t>
            </w:r>
          </w:p>
        </w:tc>
        <w:tc>
          <w:tcPr>
            <w:tcW w:w="1431" w:type="dxa"/>
          </w:tcPr>
          <w:p w14:paraId="5B01D395" w14:textId="3B3F10F4"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13,1</w:t>
            </w:r>
          </w:p>
        </w:tc>
      </w:tr>
      <w:tr w:rsidR="00D34694" w:rsidRPr="00B96EDC" w14:paraId="2C51A175" w14:textId="701EEC0B" w:rsidTr="00D34694">
        <w:tc>
          <w:tcPr>
            <w:tcW w:w="1611" w:type="dxa"/>
          </w:tcPr>
          <w:p w14:paraId="28F6E101" w14:textId="77777777" w:rsidR="00D34694" w:rsidRPr="00B96EDC" w:rsidRDefault="00D34694" w:rsidP="00874F8E">
            <w:pPr>
              <w:spacing w:after="120"/>
              <w:jc w:val="both"/>
              <w:rPr>
                <w:rFonts w:ascii="Times New Roman" w:hAnsi="Times New Roman" w:cs="Times New Roman"/>
                <w:color w:val="auto"/>
                <w:sz w:val="24"/>
                <w:szCs w:val="24"/>
                <w:lang w:val="en-GB"/>
              </w:rPr>
            </w:pPr>
          </w:p>
        </w:tc>
        <w:tc>
          <w:tcPr>
            <w:tcW w:w="1635" w:type="dxa"/>
          </w:tcPr>
          <w:p w14:paraId="2222B4BD" w14:textId="4C42D6C9"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60 years</w:t>
            </w:r>
          </w:p>
        </w:tc>
        <w:tc>
          <w:tcPr>
            <w:tcW w:w="1556" w:type="dxa"/>
          </w:tcPr>
          <w:p w14:paraId="287C742E" w14:textId="732D2C41"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5,1</w:t>
            </w:r>
          </w:p>
        </w:tc>
        <w:tc>
          <w:tcPr>
            <w:tcW w:w="1556" w:type="dxa"/>
          </w:tcPr>
          <w:p w14:paraId="4981C10F" w14:textId="57C8CB58"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5,5</w:t>
            </w:r>
          </w:p>
        </w:tc>
        <w:tc>
          <w:tcPr>
            <w:tcW w:w="1557" w:type="dxa"/>
          </w:tcPr>
          <w:p w14:paraId="11D826B5" w14:textId="2745BB47"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5,1</w:t>
            </w:r>
          </w:p>
        </w:tc>
        <w:tc>
          <w:tcPr>
            <w:tcW w:w="1431" w:type="dxa"/>
          </w:tcPr>
          <w:p w14:paraId="6D5257EE" w14:textId="15CD452D"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4,7</w:t>
            </w:r>
          </w:p>
        </w:tc>
      </w:tr>
      <w:tr w:rsidR="00D34694" w:rsidRPr="00B96EDC" w14:paraId="0BB0F779" w14:textId="0B044212" w:rsidTr="00D34694">
        <w:tc>
          <w:tcPr>
            <w:tcW w:w="1611" w:type="dxa"/>
          </w:tcPr>
          <w:p w14:paraId="52ABC5B7" w14:textId="77777777" w:rsidR="00D34694" w:rsidRPr="00B96EDC" w:rsidRDefault="00D34694" w:rsidP="00874F8E">
            <w:pPr>
              <w:spacing w:after="120"/>
              <w:jc w:val="both"/>
              <w:rPr>
                <w:rFonts w:ascii="Times New Roman" w:hAnsi="Times New Roman" w:cs="Times New Roman"/>
                <w:color w:val="auto"/>
                <w:sz w:val="24"/>
                <w:szCs w:val="24"/>
                <w:lang w:val="en-GB"/>
              </w:rPr>
            </w:pPr>
          </w:p>
        </w:tc>
        <w:tc>
          <w:tcPr>
            <w:tcW w:w="1635" w:type="dxa"/>
          </w:tcPr>
          <w:p w14:paraId="22CCF0DF" w14:textId="0372883A" w:rsidR="00D34694" w:rsidRPr="00B96EDC" w:rsidRDefault="00D34694"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75 years</w:t>
            </w:r>
          </w:p>
        </w:tc>
        <w:tc>
          <w:tcPr>
            <w:tcW w:w="1556" w:type="dxa"/>
          </w:tcPr>
          <w:p w14:paraId="2B416A5D" w14:textId="176FA2C5" w:rsidR="00D34694" w:rsidRPr="00B96EDC" w:rsidRDefault="006E638D"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1,1</w:t>
            </w:r>
          </w:p>
        </w:tc>
        <w:tc>
          <w:tcPr>
            <w:tcW w:w="1556" w:type="dxa"/>
          </w:tcPr>
          <w:p w14:paraId="079A32FA" w14:textId="1456666B" w:rsidR="00D34694" w:rsidRPr="00B96EDC" w:rsidRDefault="006E638D"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1,2</w:t>
            </w:r>
          </w:p>
        </w:tc>
        <w:tc>
          <w:tcPr>
            <w:tcW w:w="1557" w:type="dxa"/>
          </w:tcPr>
          <w:p w14:paraId="41A25558" w14:textId="621E62EF" w:rsidR="00D34694" w:rsidRPr="00B96EDC" w:rsidRDefault="006E638D"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1,2</w:t>
            </w:r>
          </w:p>
        </w:tc>
        <w:tc>
          <w:tcPr>
            <w:tcW w:w="1431" w:type="dxa"/>
          </w:tcPr>
          <w:p w14:paraId="3D6762B6" w14:textId="1A87B143" w:rsidR="00D34694" w:rsidRPr="00B96EDC" w:rsidRDefault="006E638D"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1,1</w:t>
            </w:r>
          </w:p>
        </w:tc>
      </w:tr>
      <w:tr w:rsidR="00D34694" w:rsidRPr="00B96EDC" w14:paraId="41200090" w14:textId="4242C678" w:rsidTr="00D34694">
        <w:tc>
          <w:tcPr>
            <w:tcW w:w="1611" w:type="dxa"/>
          </w:tcPr>
          <w:p w14:paraId="1F12A304" w14:textId="05EB7F47" w:rsidR="00D34694" w:rsidRPr="00B96EDC" w:rsidRDefault="00D34694"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Females</w:t>
            </w:r>
          </w:p>
        </w:tc>
        <w:tc>
          <w:tcPr>
            <w:tcW w:w="1635" w:type="dxa"/>
          </w:tcPr>
          <w:p w14:paraId="2904A3ED" w14:textId="6448194E" w:rsidR="00D34694" w:rsidRPr="00B96EDC" w:rsidRDefault="00D34694"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45 years</w:t>
            </w:r>
          </w:p>
        </w:tc>
        <w:tc>
          <w:tcPr>
            <w:tcW w:w="1556" w:type="dxa"/>
          </w:tcPr>
          <w:p w14:paraId="32117BE9" w14:textId="676688E6" w:rsidR="00D34694" w:rsidRPr="00B96EDC" w:rsidRDefault="00D34694"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13,2</w:t>
            </w:r>
          </w:p>
        </w:tc>
        <w:tc>
          <w:tcPr>
            <w:tcW w:w="1556" w:type="dxa"/>
          </w:tcPr>
          <w:p w14:paraId="63CB780D" w14:textId="639ED26B" w:rsidR="00D34694" w:rsidRPr="00B96EDC" w:rsidRDefault="00D34694"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13,7</w:t>
            </w:r>
          </w:p>
        </w:tc>
        <w:tc>
          <w:tcPr>
            <w:tcW w:w="1557" w:type="dxa"/>
          </w:tcPr>
          <w:p w14:paraId="0FC985D5" w14:textId="5EFB3E2B" w:rsidR="00D34694" w:rsidRPr="00B96EDC" w:rsidRDefault="00D34694"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13,7</w:t>
            </w:r>
          </w:p>
        </w:tc>
        <w:tc>
          <w:tcPr>
            <w:tcW w:w="1431" w:type="dxa"/>
          </w:tcPr>
          <w:p w14:paraId="16C4C815" w14:textId="678CD5A7" w:rsidR="00D34694" w:rsidRPr="00B96EDC" w:rsidRDefault="00D34694"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13,1</w:t>
            </w:r>
          </w:p>
        </w:tc>
      </w:tr>
      <w:tr w:rsidR="00D34694" w:rsidRPr="00B96EDC" w14:paraId="52ADC713" w14:textId="163C82FB" w:rsidTr="00D34694">
        <w:tc>
          <w:tcPr>
            <w:tcW w:w="1611" w:type="dxa"/>
          </w:tcPr>
          <w:p w14:paraId="03C27965" w14:textId="77777777" w:rsidR="00D34694" w:rsidRPr="00B96EDC" w:rsidRDefault="00D34694" w:rsidP="00D34694">
            <w:pPr>
              <w:spacing w:after="120"/>
              <w:jc w:val="both"/>
              <w:rPr>
                <w:rFonts w:ascii="Times New Roman" w:hAnsi="Times New Roman" w:cs="Times New Roman"/>
                <w:color w:val="auto"/>
                <w:sz w:val="24"/>
                <w:szCs w:val="24"/>
                <w:lang w:val="en-GB"/>
              </w:rPr>
            </w:pPr>
          </w:p>
        </w:tc>
        <w:tc>
          <w:tcPr>
            <w:tcW w:w="1635" w:type="dxa"/>
          </w:tcPr>
          <w:p w14:paraId="56B7CC71" w14:textId="253F195A" w:rsidR="00D34694" w:rsidRPr="00B96EDC" w:rsidRDefault="00D34694"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60 years</w:t>
            </w:r>
          </w:p>
        </w:tc>
        <w:tc>
          <w:tcPr>
            <w:tcW w:w="1556" w:type="dxa"/>
          </w:tcPr>
          <w:p w14:paraId="642AE018" w14:textId="1A3DB762" w:rsidR="00D34694" w:rsidRPr="00B96EDC" w:rsidRDefault="006E638D"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5,0</w:t>
            </w:r>
          </w:p>
        </w:tc>
        <w:tc>
          <w:tcPr>
            <w:tcW w:w="1556" w:type="dxa"/>
          </w:tcPr>
          <w:p w14:paraId="5BE3D8C7" w14:textId="66B46E90" w:rsidR="00D34694" w:rsidRPr="00B96EDC" w:rsidRDefault="006E638D"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5,2</w:t>
            </w:r>
          </w:p>
        </w:tc>
        <w:tc>
          <w:tcPr>
            <w:tcW w:w="1557" w:type="dxa"/>
          </w:tcPr>
          <w:p w14:paraId="4F001EE3" w14:textId="53C09D60" w:rsidR="00D34694" w:rsidRPr="00B96EDC" w:rsidRDefault="006E638D"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5,1</w:t>
            </w:r>
          </w:p>
        </w:tc>
        <w:tc>
          <w:tcPr>
            <w:tcW w:w="1431" w:type="dxa"/>
          </w:tcPr>
          <w:p w14:paraId="2A799740" w14:textId="4E8453BF" w:rsidR="00D34694" w:rsidRPr="00B96EDC" w:rsidRDefault="006E638D"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4,9</w:t>
            </w:r>
          </w:p>
        </w:tc>
      </w:tr>
      <w:tr w:rsidR="00D34694" w:rsidRPr="00B96EDC" w14:paraId="51AF63E0" w14:textId="15AC3158" w:rsidTr="00D34694">
        <w:tc>
          <w:tcPr>
            <w:tcW w:w="1611" w:type="dxa"/>
          </w:tcPr>
          <w:p w14:paraId="6FBB1138" w14:textId="77777777" w:rsidR="00D34694" w:rsidRPr="00B96EDC" w:rsidRDefault="00D34694" w:rsidP="00D34694">
            <w:pPr>
              <w:spacing w:after="120"/>
              <w:jc w:val="both"/>
              <w:rPr>
                <w:rFonts w:ascii="Times New Roman" w:hAnsi="Times New Roman" w:cs="Times New Roman"/>
                <w:color w:val="auto"/>
                <w:sz w:val="24"/>
                <w:szCs w:val="24"/>
                <w:lang w:val="en-GB"/>
              </w:rPr>
            </w:pPr>
          </w:p>
        </w:tc>
        <w:tc>
          <w:tcPr>
            <w:tcW w:w="1635" w:type="dxa"/>
          </w:tcPr>
          <w:p w14:paraId="76909211" w14:textId="234C23F3" w:rsidR="00D34694" w:rsidRPr="00B96EDC" w:rsidRDefault="00D34694"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75 years</w:t>
            </w:r>
          </w:p>
        </w:tc>
        <w:tc>
          <w:tcPr>
            <w:tcW w:w="1556" w:type="dxa"/>
          </w:tcPr>
          <w:p w14:paraId="234098C7" w14:textId="10F8C97F" w:rsidR="00D34694" w:rsidRPr="00B96EDC" w:rsidRDefault="006E638D"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0,9</w:t>
            </w:r>
          </w:p>
        </w:tc>
        <w:tc>
          <w:tcPr>
            <w:tcW w:w="1556" w:type="dxa"/>
          </w:tcPr>
          <w:p w14:paraId="0031D4DA" w14:textId="1E89A57E" w:rsidR="00D34694" w:rsidRPr="00B96EDC" w:rsidRDefault="006E638D"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1,1</w:t>
            </w:r>
          </w:p>
        </w:tc>
        <w:tc>
          <w:tcPr>
            <w:tcW w:w="1557" w:type="dxa"/>
          </w:tcPr>
          <w:p w14:paraId="12BF5869" w14:textId="2DCBDDCE" w:rsidR="00D34694" w:rsidRPr="00B96EDC" w:rsidRDefault="006E638D"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0,9</w:t>
            </w:r>
          </w:p>
        </w:tc>
        <w:tc>
          <w:tcPr>
            <w:tcW w:w="1431" w:type="dxa"/>
          </w:tcPr>
          <w:p w14:paraId="09EDAE33" w14:textId="0D1A3504" w:rsidR="00D34694" w:rsidRPr="00B96EDC" w:rsidRDefault="006E638D" w:rsidP="00D34694">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0,8</w:t>
            </w:r>
          </w:p>
        </w:tc>
      </w:tr>
    </w:tbl>
    <w:p w14:paraId="38A4A967" w14:textId="640184E4" w:rsidR="00E04D8E" w:rsidRPr="00B96EDC" w:rsidRDefault="00E04D8E" w:rsidP="00125F6C">
      <w:pPr>
        <w:spacing w:after="120"/>
        <w:ind w:firstLine="708"/>
        <w:jc w:val="both"/>
        <w:rPr>
          <w:rFonts w:ascii="Times New Roman" w:hAnsi="Times New Roman" w:cs="Times New Roman"/>
          <w:b/>
          <w:color w:val="auto"/>
          <w:sz w:val="24"/>
          <w:szCs w:val="24"/>
          <w:lang w:val="en-GB"/>
        </w:rPr>
      </w:pPr>
    </w:p>
    <w:p w14:paraId="5AFF3FF1" w14:textId="6775CCEE" w:rsidR="00F56205" w:rsidRPr="00B96EDC" w:rsidRDefault="00125F6C" w:rsidP="00125F6C">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lastRenderedPageBreak/>
        <w:t>2.</w:t>
      </w:r>
      <w:r w:rsidRPr="00B96EDC">
        <w:rPr>
          <w:rFonts w:ascii="Times New Roman" w:hAnsi="Times New Roman" w:cs="Times New Roman"/>
          <w:color w:val="auto"/>
          <w:sz w:val="24"/>
          <w:szCs w:val="24"/>
          <w:lang w:val="en-GB"/>
        </w:rPr>
        <w:tab/>
      </w:r>
      <w:r w:rsidR="00CE0E14" w:rsidRPr="00B96EDC">
        <w:rPr>
          <w:rFonts w:ascii="Times New Roman" w:hAnsi="Times New Roman" w:cs="Times New Roman"/>
          <w:color w:val="auto"/>
          <w:sz w:val="24"/>
          <w:szCs w:val="24"/>
          <w:lang w:val="en-GB"/>
        </w:rPr>
        <w:t>The</w:t>
      </w:r>
      <w:r w:rsidRPr="00B96EDC">
        <w:rPr>
          <w:rFonts w:ascii="Times New Roman" w:hAnsi="Times New Roman" w:cs="Times New Roman"/>
          <w:color w:val="auto"/>
          <w:sz w:val="24"/>
          <w:szCs w:val="24"/>
          <w:lang w:val="en-GB"/>
        </w:rPr>
        <w:t xml:space="preserve"> data collected by relevant public authorities (e.g. Statistical Office of the Slovak Republic or National Centre for Medical Information) on life </w:t>
      </w:r>
      <w:r w:rsidR="001031CD" w:rsidRPr="00B96EDC">
        <w:rPr>
          <w:rFonts w:ascii="Times New Roman" w:hAnsi="Times New Roman" w:cs="Times New Roman"/>
          <w:color w:val="auto"/>
          <w:sz w:val="24"/>
          <w:szCs w:val="24"/>
          <w:lang w:val="en-GB"/>
        </w:rPr>
        <w:t>expectancy or</w:t>
      </w:r>
      <w:r w:rsidRPr="00B96EDC">
        <w:rPr>
          <w:rFonts w:ascii="Times New Roman" w:hAnsi="Times New Roman" w:cs="Times New Roman"/>
          <w:color w:val="auto"/>
          <w:sz w:val="24"/>
          <w:szCs w:val="24"/>
          <w:lang w:val="en-GB"/>
        </w:rPr>
        <w:t xml:space="preserve"> health life expectancy are disaggregated solely by sex (male and female) and age (by single years or 5 years’ age groups). As the data are not </w:t>
      </w:r>
      <w:r w:rsidR="00CE0E14" w:rsidRPr="00B96EDC">
        <w:rPr>
          <w:rFonts w:ascii="Times New Roman" w:hAnsi="Times New Roman" w:cs="Times New Roman"/>
          <w:color w:val="auto"/>
          <w:sz w:val="24"/>
          <w:szCs w:val="24"/>
          <w:lang w:val="en-GB"/>
        </w:rPr>
        <w:t>disaggregated by any other relevant characteristics (e. g. ethnicity, nationality, gender, sexual orientation, residency, disability, education, employment etc.)</w:t>
      </w:r>
      <w:r w:rsidRPr="00B96EDC">
        <w:rPr>
          <w:rFonts w:ascii="Times New Roman" w:hAnsi="Times New Roman" w:cs="Times New Roman"/>
          <w:color w:val="auto"/>
          <w:sz w:val="24"/>
          <w:szCs w:val="24"/>
          <w:lang w:val="en-GB"/>
        </w:rPr>
        <w:t>, it is not possible to evaluate the life expectancy for differ</w:t>
      </w:r>
      <w:r w:rsidR="0057346D" w:rsidRPr="00B96EDC">
        <w:rPr>
          <w:rFonts w:ascii="Times New Roman" w:hAnsi="Times New Roman" w:cs="Times New Roman"/>
          <w:color w:val="auto"/>
          <w:sz w:val="24"/>
          <w:szCs w:val="24"/>
          <w:lang w:val="en-GB"/>
        </w:rPr>
        <w:t xml:space="preserve">ent population groups including </w:t>
      </w:r>
      <w:r w:rsidRPr="00B96EDC">
        <w:rPr>
          <w:rFonts w:ascii="Times New Roman" w:hAnsi="Times New Roman" w:cs="Times New Roman"/>
          <w:color w:val="auto"/>
          <w:sz w:val="24"/>
          <w:szCs w:val="24"/>
          <w:lang w:val="en-GB"/>
        </w:rPr>
        <w:t xml:space="preserve">various vulnerable groups </w:t>
      </w:r>
      <w:r w:rsidR="0057346D" w:rsidRPr="00B96EDC">
        <w:rPr>
          <w:rFonts w:ascii="Times New Roman" w:hAnsi="Times New Roman" w:cs="Times New Roman"/>
          <w:color w:val="auto"/>
          <w:sz w:val="24"/>
          <w:szCs w:val="24"/>
          <w:lang w:val="en-GB"/>
        </w:rPr>
        <w:t xml:space="preserve">(e.g. </w:t>
      </w:r>
      <w:r w:rsidRPr="00B96EDC">
        <w:rPr>
          <w:rFonts w:ascii="Times New Roman" w:hAnsi="Times New Roman" w:cs="Times New Roman"/>
          <w:color w:val="auto"/>
          <w:sz w:val="24"/>
          <w:szCs w:val="24"/>
          <w:lang w:val="en-GB"/>
        </w:rPr>
        <w:t>Roma, national minorities, migrants, homeless, persons with disabilities, unemployed etc.) or for different regions or areas (</w:t>
      </w:r>
      <w:r w:rsidR="0057346D" w:rsidRPr="00B96EDC">
        <w:rPr>
          <w:rFonts w:ascii="Times New Roman" w:hAnsi="Times New Roman" w:cs="Times New Roman"/>
          <w:color w:val="auto"/>
          <w:sz w:val="24"/>
          <w:szCs w:val="24"/>
          <w:lang w:val="en-GB"/>
        </w:rPr>
        <w:t xml:space="preserve">e. g. </w:t>
      </w:r>
      <w:r w:rsidRPr="00B96EDC">
        <w:rPr>
          <w:rFonts w:ascii="Times New Roman" w:hAnsi="Times New Roman" w:cs="Times New Roman"/>
          <w:color w:val="auto"/>
          <w:sz w:val="24"/>
          <w:szCs w:val="24"/>
          <w:lang w:val="en-GB"/>
        </w:rPr>
        <w:t>urban, rural, industrial etc.). Lack of disaggregated data does not allow for identification any anomalies, especially inequalities in quality of health and wellbeing.</w:t>
      </w:r>
      <w:r w:rsidR="00405FB6" w:rsidRPr="00B96EDC">
        <w:rPr>
          <w:rFonts w:ascii="Times New Roman" w:hAnsi="Times New Roman" w:cs="Times New Roman"/>
          <w:color w:val="auto"/>
          <w:sz w:val="24"/>
          <w:szCs w:val="24"/>
          <w:lang w:val="en-GB"/>
        </w:rPr>
        <w:t xml:space="preserve"> </w:t>
      </w:r>
    </w:p>
    <w:p w14:paraId="3CD73C83" w14:textId="62B18FF8" w:rsidR="007A27DB" w:rsidRPr="00B96EDC" w:rsidRDefault="000D2038" w:rsidP="00CF4CF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w:t>
      </w:r>
      <w:r w:rsidR="001031CD" w:rsidRPr="00B96EDC">
        <w:rPr>
          <w:rFonts w:ascii="Times New Roman" w:hAnsi="Times New Roman" w:cs="Times New Roman"/>
          <w:color w:val="auto"/>
          <w:sz w:val="24"/>
          <w:szCs w:val="24"/>
          <w:lang w:val="en-GB"/>
        </w:rPr>
        <w:t>.</w:t>
      </w:r>
      <w:r w:rsidR="001031CD" w:rsidRPr="00B96EDC">
        <w:rPr>
          <w:rFonts w:ascii="Times New Roman" w:hAnsi="Times New Roman" w:cs="Times New Roman"/>
          <w:color w:val="auto"/>
          <w:sz w:val="24"/>
          <w:szCs w:val="24"/>
          <w:lang w:val="en-GB"/>
        </w:rPr>
        <w:tab/>
        <w:t>In 2019, the</w:t>
      </w:r>
      <w:r w:rsidR="00F56205" w:rsidRPr="00B96EDC">
        <w:rPr>
          <w:rFonts w:ascii="Times New Roman" w:hAnsi="Times New Roman" w:cs="Times New Roman"/>
          <w:color w:val="auto"/>
          <w:sz w:val="24"/>
          <w:szCs w:val="24"/>
          <w:lang w:val="en-GB"/>
        </w:rPr>
        <w:t xml:space="preserve"> life expectancy at birth in the Slovak Repu</w:t>
      </w:r>
      <w:r w:rsidR="00BF40BB" w:rsidRPr="00B96EDC">
        <w:rPr>
          <w:rFonts w:ascii="Times New Roman" w:hAnsi="Times New Roman" w:cs="Times New Roman"/>
          <w:color w:val="auto"/>
          <w:sz w:val="24"/>
          <w:szCs w:val="24"/>
          <w:lang w:val="en-GB"/>
        </w:rPr>
        <w:t>blic for males and females was</w:t>
      </w:r>
      <w:r w:rsidR="00F56205" w:rsidRPr="00B96EDC">
        <w:rPr>
          <w:rFonts w:ascii="Times New Roman" w:hAnsi="Times New Roman" w:cs="Times New Roman"/>
          <w:color w:val="auto"/>
          <w:sz w:val="24"/>
          <w:szCs w:val="24"/>
          <w:lang w:val="en-GB"/>
        </w:rPr>
        <w:t xml:space="preserve"> </w:t>
      </w:r>
      <w:r w:rsidR="00CB4F7C" w:rsidRPr="00B96EDC">
        <w:rPr>
          <w:rFonts w:ascii="Times New Roman" w:hAnsi="Times New Roman" w:cs="Times New Roman"/>
          <w:color w:val="auto"/>
          <w:sz w:val="24"/>
          <w:szCs w:val="24"/>
          <w:lang w:val="en-GB"/>
        </w:rPr>
        <w:t>lower than the EU average (3,8 years)</w:t>
      </w:r>
      <w:r w:rsidR="00CB4F7C" w:rsidRPr="00B96EDC">
        <w:rPr>
          <w:rStyle w:val="Odkaznapoznmkupodiarou"/>
          <w:rFonts w:ascii="Times New Roman" w:hAnsi="Times New Roman" w:cs="Times New Roman"/>
          <w:color w:val="auto"/>
          <w:sz w:val="24"/>
          <w:szCs w:val="24"/>
          <w:lang w:val="en-GB"/>
        </w:rPr>
        <w:footnoteReference w:id="5"/>
      </w:r>
      <w:r w:rsidR="00BF40BB" w:rsidRPr="00B96EDC">
        <w:rPr>
          <w:rFonts w:ascii="Times New Roman" w:hAnsi="Times New Roman" w:cs="Times New Roman"/>
          <w:color w:val="auto"/>
          <w:sz w:val="24"/>
          <w:szCs w:val="24"/>
          <w:lang w:val="en-GB"/>
        </w:rPr>
        <w:t xml:space="preserve"> and t</w:t>
      </w:r>
      <w:r w:rsidR="00CB4F7C" w:rsidRPr="00B96EDC">
        <w:rPr>
          <w:rFonts w:ascii="Times New Roman" w:hAnsi="Times New Roman" w:cs="Times New Roman"/>
          <w:color w:val="auto"/>
          <w:sz w:val="24"/>
          <w:szCs w:val="24"/>
          <w:lang w:val="en-GB"/>
        </w:rPr>
        <w:t xml:space="preserve">he number of deaths </w:t>
      </w:r>
      <w:r w:rsidR="009223FD" w:rsidRPr="00B96EDC">
        <w:rPr>
          <w:rFonts w:ascii="Times New Roman" w:hAnsi="Times New Roman" w:cs="Times New Roman"/>
          <w:color w:val="auto"/>
          <w:sz w:val="24"/>
          <w:szCs w:val="24"/>
          <w:lang w:val="en-GB"/>
        </w:rPr>
        <w:t>from preventable or treat</w:t>
      </w:r>
      <w:r w:rsidR="00666A3E" w:rsidRPr="00B96EDC">
        <w:rPr>
          <w:rFonts w:ascii="Times New Roman" w:hAnsi="Times New Roman" w:cs="Times New Roman"/>
          <w:color w:val="auto"/>
          <w:sz w:val="24"/>
          <w:szCs w:val="24"/>
          <w:lang w:val="en-GB"/>
        </w:rPr>
        <w:t xml:space="preserve">able diseases/conditions </w:t>
      </w:r>
      <w:r w:rsidR="00CB4F7C" w:rsidRPr="00B96EDC">
        <w:rPr>
          <w:rFonts w:ascii="Times New Roman" w:hAnsi="Times New Roman" w:cs="Times New Roman"/>
          <w:color w:val="auto"/>
          <w:sz w:val="24"/>
          <w:szCs w:val="24"/>
          <w:lang w:val="en-GB"/>
        </w:rPr>
        <w:t>per 100 000 inhabitants</w:t>
      </w:r>
      <w:r w:rsidR="001031CD" w:rsidRPr="00B96EDC">
        <w:rPr>
          <w:rFonts w:ascii="Times New Roman" w:hAnsi="Times New Roman" w:cs="Times New Roman"/>
          <w:color w:val="auto"/>
          <w:sz w:val="24"/>
          <w:szCs w:val="24"/>
          <w:lang w:val="en-GB"/>
        </w:rPr>
        <w:t xml:space="preserve"> in the Slovak Republic</w:t>
      </w:r>
      <w:r w:rsidR="00CB4F7C" w:rsidRPr="00B96EDC">
        <w:rPr>
          <w:rFonts w:ascii="Times New Roman" w:hAnsi="Times New Roman" w:cs="Times New Roman"/>
          <w:color w:val="auto"/>
          <w:sz w:val="24"/>
          <w:szCs w:val="24"/>
          <w:lang w:val="en-GB"/>
        </w:rPr>
        <w:t xml:space="preserve"> </w:t>
      </w:r>
      <w:r w:rsidR="001031CD" w:rsidRPr="00B96EDC">
        <w:rPr>
          <w:rFonts w:ascii="Times New Roman" w:hAnsi="Times New Roman" w:cs="Times New Roman"/>
          <w:color w:val="auto"/>
          <w:sz w:val="24"/>
          <w:szCs w:val="24"/>
          <w:lang w:val="en-GB"/>
        </w:rPr>
        <w:t>is alarming</w:t>
      </w:r>
      <w:r w:rsidR="00666A3E" w:rsidRPr="00B96EDC">
        <w:rPr>
          <w:rFonts w:ascii="Times New Roman" w:hAnsi="Times New Roman" w:cs="Times New Roman"/>
          <w:color w:val="auto"/>
          <w:sz w:val="24"/>
          <w:szCs w:val="24"/>
          <w:lang w:val="en-GB"/>
        </w:rPr>
        <w:t xml:space="preserve">. </w:t>
      </w:r>
      <w:r w:rsidR="007A27DB" w:rsidRPr="00B96EDC">
        <w:rPr>
          <w:rFonts w:ascii="Times New Roman" w:hAnsi="Times New Roman" w:cs="Times New Roman"/>
          <w:color w:val="auto"/>
          <w:sz w:val="24"/>
          <w:szCs w:val="24"/>
          <w:lang w:val="en-GB"/>
        </w:rPr>
        <w:t>For instance, the number of deaths from avoidable diseases/condition</w:t>
      </w:r>
      <w:r w:rsidR="00BF40BB" w:rsidRPr="00B96EDC">
        <w:rPr>
          <w:rFonts w:ascii="Times New Roman" w:hAnsi="Times New Roman" w:cs="Times New Roman"/>
          <w:color w:val="auto"/>
          <w:sz w:val="24"/>
          <w:szCs w:val="24"/>
          <w:lang w:val="en-GB"/>
        </w:rPr>
        <w:t>s</w:t>
      </w:r>
      <w:r w:rsidR="007A27DB" w:rsidRPr="00B96EDC">
        <w:rPr>
          <w:rFonts w:ascii="Times New Roman" w:hAnsi="Times New Roman" w:cs="Times New Roman"/>
          <w:color w:val="auto"/>
          <w:sz w:val="24"/>
          <w:szCs w:val="24"/>
          <w:lang w:val="en-GB"/>
        </w:rPr>
        <w:t xml:space="preserve">, persons aged less than 75 years per 100 000 inhabitants </w:t>
      </w:r>
      <w:r w:rsidR="00DB1ACF" w:rsidRPr="00B96EDC">
        <w:rPr>
          <w:rFonts w:ascii="Times New Roman" w:hAnsi="Times New Roman" w:cs="Times New Roman"/>
          <w:color w:val="auto"/>
          <w:sz w:val="24"/>
          <w:szCs w:val="24"/>
          <w:lang w:val="en-GB"/>
        </w:rPr>
        <w:t>in the Slovak R</w:t>
      </w:r>
      <w:r w:rsidR="001031CD" w:rsidRPr="00B96EDC">
        <w:rPr>
          <w:rFonts w:ascii="Times New Roman" w:hAnsi="Times New Roman" w:cs="Times New Roman"/>
          <w:color w:val="auto"/>
          <w:sz w:val="24"/>
          <w:szCs w:val="24"/>
          <w:lang w:val="en-GB"/>
        </w:rPr>
        <w:t>epublic is higher</w:t>
      </w:r>
      <w:r w:rsidR="00DB1ACF" w:rsidRPr="00B96EDC">
        <w:rPr>
          <w:rFonts w:ascii="Times New Roman" w:hAnsi="Times New Roman" w:cs="Times New Roman"/>
          <w:color w:val="auto"/>
          <w:sz w:val="24"/>
          <w:szCs w:val="24"/>
          <w:lang w:val="en-GB"/>
        </w:rPr>
        <w:t xml:space="preserve"> by 60% in comparison with the EU average. Similar trends have been also shown in respect to treatable diseases/conditions and preventable diseases/conditions.</w:t>
      </w:r>
      <w:r w:rsidR="00CF4CF2" w:rsidRPr="00B96EDC">
        <w:rPr>
          <w:rStyle w:val="Odkaznapoznmkupodiarou"/>
          <w:rFonts w:ascii="Times New Roman" w:hAnsi="Times New Roman" w:cs="Times New Roman"/>
          <w:color w:val="auto"/>
          <w:sz w:val="24"/>
          <w:szCs w:val="24"/>
          <w:lang w:val="en-GB"/>
        </w:rPr>
        <w:footnoteReference w:id="6"/>
      </w:r>
      <w:r w:rsidR="00CF4CF2" w:rsidRPr="00B96EDC">
        <w:rPr>
          <w:rFonts w:ascii="Times New Roman" w:hAnsi="Times New Roman" w:cs="Times New Roman"/>
          <w:color w:val="auto"/>
          <w:sz w:val="24"/>
          <w:szCs w:val="24"/>
          <w:lang w:val="en-GB"/>
        </w:rPr>
        <w:t xml:space="preserve"> If it comes to the deaths from preventable or treatable diseases/conditions in the Slovak Republic, there have not been </w:t>
      </w:r>
      <w:r w:rsidR="00405FB6" w:rsidRPr="00B96EDC">
        <w:rPr>
          <w:rFonts w:ascii="Times New Roman" w:hAnsi="Times New Roman" w:cs="Times New Roman"/>
          <w:color w:val="auto"/>
          <w:sz w:val="24"/>
          <w:szCs w:val="24"/>
          <w:lang w:val="en-GB"/>
        </w:rPr>
        <w:t>substantial improvement and situation remains worrisome.</w:t>
      </w:r>
    </w:p>
    <w:p w14:paraId="2469830B" w14:textId="3CF73F8D" w:rsidR="00CF4CF2" w:rsidRPr="00B96EDC" w:rsidRDefault="00CF4CF2" w:rsidP="00CF4CF2">
      <w:pPr>
        <w:widowControl w:val="0"/>
        <w:spacing w:after="120"/>
        <w:ind w:right="0"/>
        <w:jc w:val="both"/>
        <w:rPr>
          <w:rFonts w:ascii="Times New Roman" w:hAnsi="Times New Roman" w:cs="Times New Roman"/>
          <w:bCs/>
          <w:i/>
          <w:color w:val="auto"/>
          <w:sz w:val="24"/>
          <w:szCs w:val="24"/>
          <w:lang w:val="en-GB"/>
        </w:rPr>
      </w:pPr>
      <w:r w:rsidRPr="00B96EDC">
        <w:rPr>
          <w:rFonts w:ascii="Times New Roman" w:hAnsi="Times New Roman" w:cs="Times New Roman"/>
          <w:b/>
          <w:color w:val="auto"/>
          <w:sz w:val="24"/>
          <w:szCs w:val="24"/>
          <w:lang w:val="en-GB"/>
        </w:rPr>
        <w:t>Table No. 4:</w:t>
      </w:r>
      <w:r w:rsidRPr="00B96EDC">
        <w:rPr>
          <w:rFonts w:ascii="Times New Roman" w:hAnsi="Times New Roman" w:cs="Times New Roman"/>
          <w:color w:val="auto"/>
          <w:sz w:val="24"/>
          <w:szCs w:val="24"/>
          <w:lang w:val="en-GB"/>
        </w:rPr>
        <w:t xml:space="preserve"> </w:t>
      </w:r>
      <w:r w:rsidRPr="00B96EDC">
        <w:rPr>
          <w:rFonts w:ascii="Times New Roman" w:hAnsi="Times New Roman" w:cs="Times New Roman"/>
          <w:bCs/>
          <w:i/>
          <w:color w:val="auto"/>
          <w:sz w:val="24"/>
          <w:szCs w:val="24"/>
          <w:lang w:val="en-GB"/>
        </w:rPr>
        <w:t>Treatable and preventable mortality of residents by cause and sex in the Slovak Republic for the years 2016 – 2018</w:t>
      </w:r>
      <w:r w:rsidRPr="00B96EDC">
        <w:rPr>
          <w:rStyle w:val="Odkaznapoznmkupodiarou"/>
          <w:rFonts w:ascii="Times New Roman" w:hAnsi="Times New Roman" w:cs="Times New Roman"/>
          <w:bCs/>
          <w:i/>
          <w:color w:val="auto"/>
          <w:sz w:val="24"/>
          <w:szCs w:val="24"/>
          <w:lang w:val="en-GB"/>
        </w:rPr>
        <w:footnoteReference w:id="7"/>
      </w:r>
    </w:p>
    <w:tbl>
      <w:tblPr>
        <w:tblStyle w:val="Mriekatabuky"/>
        <w:tblW w:w="0" w:type="auto"/>
        <w:tblLook w:val="04A0" w:firstRow="1" w:lastRow="0" w:firstColumn="1" w:lastColumn="0" w:noHBand="0" w:noVBand="1"/>
      </w:tblPr>
      <w:tblGrid>
        <w:gridCol w:w="2336"/>
        <w:gridCol w:w="2336"/>
        <w:gridCol w:w="2337"/>
        <w:gridCol w:w="2337"/>
      </w:tblGrid>
      <w:tr w:rsidR="00CF4CF2" w:rsidRPr="00B96EDC" w14:paraId="4807F1AA" w14:textId="77777777" w:rsidTr="00CF4CF2">
        <w:tc>
          <w:tcPr>
            <w:tcW w:w="2336" w:type="dxa"/>
          </w:tcPr>
          <w:p w14:paraId="7C15BD02" w14:textId="77777777" w:rsidR="00CF4CF2" w:rsidRPr="00B96EDC" w:rsidRDefault="00CF4CF2" w:rsidP="00CF4CF2">
            <w:pPr>
              <w:widowControl w:val="0"/>
              <w:spacing w:after="120"/>
              <w:ind w:right="0"/>
              <w:jc w:val="both"/>
              <w:rPr>
                <w:rFonts w:ascii="Times New Roman" w:hAnsi="Times New Roman" w:cs="Times New Roman"/>
                <w:b/>
                <w:bCs/>
                <w:color w:val="auto"/>
                <w:sz w:val="24"/>
                <w:szCs w:val="24"/>
                <w:lang w:val="en-GB"/>
              </w:rPr>
            </w:pPr>
          </w:p>
        </w:tc>
        <w:tc>
          <w:tcPr>
            <w:tcW w:w="2336" w:type="dxa"/>
          </w:tcPr>
          <w:p w14:paraId="6900E3A5" w14:textId="5C6DDB5E" w:rsidR="00CF4CF2" w:rsidRPr="00B96EDC" w:rsidRDefault="00CF4CF2" w:rsidP="00CF4CF2">
            <w:pPr>
              <w:widowControl w:val="0"/>
              <w:spacing w:after="120"/>
              <w:ind w:right="0"/>
              <w:jc w:val="both"/>
              <w:rPr>
                <w:rFonts w:ascii="Times New Roman" w:hAnsi="Times New Roman" w:cs="Times New Roman"/>
                <w:b/>
                <w:bCs/>
                <w:color w:val="auto"/>
                <w:sz w:val="24"/>
                <w:szCs w:val="24"/>
                <w:lang w:val="en-GB"/>
              </w:rPr>
            </w:pPr>
            <w:r w:rsidRPr="00B96EDC">
              <w:rPr>
                <w:rFonts w:ascii="Times New Roman" w:hAnsi="Times New Roman" w:cs="Times New Roman"/>
                <w:b/>
                <w:bCs/>
                <w:color w:val="auto"/>
                <w:sz w:val="24"/>
                <w:szCs w:val="24"/>
                <w:lang w:val="en-GB"/>
              </w:rPr>
              <w:t>2018</w:t>
            </w:r>
          </w:p>
        </w:tc>
        <w:tc>
          <w:tcPr>
            <w:tcW w:w="2337" w:type="dxa"/>
          </w:tcPr>
          <w:p w14:paraId="622A1CC3" w14:textId="2D10C7F3" w:rsidR="00CF4CF2" w:rsidRPr="00B96EDC" w:rsidRDefault="00CF4CF2" w:rsidP="00CF4CF2">
            <w:pPr>
              <w:widowControl w:val="0"/>
              <w:spacing w:after="120"/>
              <w:ind w:right="0"/>
              <w:jc w:val="both"/>
              <w:rPr>
                <w:rFonts w:ascii="Times New Roman" w:hAnsi="Times New Roman" w:cs="Times New Roman"/>
                <w:b/>
                <w:bCs/>
                <w:color w:val="auto"/>
                <w:sz w:val="24"/>
                <w:szCs w:val="24"/>
                <w:lang w:val="en-GB"/>
              </w:rPr>
            </w:pPr>
            <w:r w:rsidRPr="00B96EDC">
              <w:rPr>
                <w:rFonts w:ascii="Times New Roman" w:hAnsi="Times New Roman" w:cs="Times New Roman"/>
                <w:b/>
                <w:bCs/>
                <w:color w:val="auto"/>
                <w:sz w:val="24"/>
                <w:szCs w:val="24"/>
                <w:lang w:val="en-GB"/>
              </w:rPr>
              <w:t>2017</w:t>
            </w:r>
          </w:p>
        </w:tc>
        <w:tc>
          <w:tcPr>
            <w:tcW w:w="2337" w:type="dxa"/>
          </w:tcPr>
          <w:p w14:paraId="049E4D4B" w14:textId="5F007B59" w:rsidR="00CF4CF2" w:rsidRPr="00B96EDC" w:rsidRDefault="00CF4CF2" w:rsidP="00CF4CF2">
            <w:pPr>
              <w:widowControl w:val="0"/>
              <w:spacing w:after="120"/>
              <w:ind w:right="0"/>
              <w:jc w:val="both"/>
              <w:rPr>
                <w:rFonts w:ascii="Times New Roman" w:hAnsi="Times New Roman" w:cs="Times New Roman"/>
                <w:b/>
                <w:bCs/>
                <w:color w:val="auto"/>
                <w:sz w:val="24"/>
                <w:szCs w:val="24"/>
                <w:lang w:val="en-GB"/>
              </w:rPr>
            </w:pPr>
            <w:r w:rsidRPr="00B96EDC">
              <w:rPr>
                <w:rFonts w:ascii="Times New Roman" w:hAnsi="Times New Roman" w:cs="Times New Roman"/>
                <w:b/>
                <w:bCs/>
                <w:color w:val="auto"/>
                <w:sz w:val="24"/>
                <w:szCs w:val="24"/>
                <w:lang w:val="en-GB"/>
              </w:rPr>
              <w:t>2016</w:t>
            </w:r>
          </w:p>
        </w:tc>
      </w:tr>
      <w:tr w:rsidR="00CF4CF2" w:rsidRPr="00B96EDC" w14:paraId="19AF4F40" w14:textId="77777777" w:rsidTr="00CF4CF2">
        <w:tc>
          <w:tcPr>
            <w:tcW w:w="2336" w:type="dxa"/>
          </w:tcPr>
          <w:p w14:paraId="73CEE22B" w14:textId="1D3FA7EB" w:rsidR="00CF4CF2" w:rsidRPr="00B96EDC" w:rsidRDefault="00CF4CF2" w:rsidP="00CF4CF2">
            <w:pPr>
              <w:widowControl w:val="0"/>
              <w:spacing w:after="120"/>
              <w:ind w:right="0"/>
              <w:jc w:val="both"/>
              <w:rPr>
                <w:rFonts w:ascii="Times New Roman" w:hAnsi="Times New Roman" w:cs="Times New Roman"/>
                <w:b/>
                <w:bCs/>
                <w:color w:val="auto"/>
                <w:sz w:val="24"/>
                <w:szCs w:val="24"/>
                <w:lang w:val="en-GB"/>
              </w:rPr>
            </w:pPr>
            <w:r w:rsidRPr="00B96EDC">
              <w:rPr>
                <w:rFonts w:ascii="Times New Roman" w:hAnsi="Times New Roman" w:cs="Times New Roman"/>
                <w:b/>
                <w:color w:val="auto"/>
                <w:sz w:val="24"/>
                <w:szCs w:val="24"/>
                <w:lang w:val="en-GB"/>
              </w:rPr>
              <w:t>Preventable diseases</w:t>
            </w:r>
          </w:p>
        </w:tc>
        <w:tc>
          <w:tcPr>
            <w:tcW w:w="2336" w:type="dxa"/>
          </w:tcPr>
          <w:p w14:paraId="62C77C89" w14:textId="73A24D98" w:rsidR="00CF4CF2" w:rsidRPr="00B96EDC" w:rsidRDefault="00CF4CF2" w:rsidP="00CF4CF2">
            <w:pPr>
              <w:widowControl w:val="0"/>
              <w:spacing w:after="120"/>
              <w:ind w:right="0"/>
              <w:jc w:val="both"/>
              <w:rPr>
                <w:rFonts w:ascii="Times New Roman" w:hAnsi="Times New Roman" w:cs="Times New Roman"/>
                <w:bCs/>
                <w:color w:val="auto"/>
                <w:sz w:val="24"/>
                <w:szCs w:val="24"/>
                <w:lang w:val="en-GB"/>
              </w:rPr>
            </w:pPr>
            <w:r w:rsidRPr="00B96EDC">
              <w:rPr>
                <w:rFonts w:ascii="Times New Roman" w:hAnsi="Times New Roman" w:cs="Times New Roman"/>
                <w:bCs/>
                <w:color w:val="auto"/>
                <w:sz w:val="24"/>
                <w:szCs w:val="24"/>
                <w:lang w:val="en-GB"/>
              </w:rPr>
              <w:t>241,27</w:t>
            </w:r>
          </w:p>
        </w:tc>
        <w:tc>
          <w:tcPr>
            <w:tcW w:w="2337" w:type="dxa"/>
          </w:tcPr>
          <w:p w14:paraId="1A0189C9" w14:textId="2DC7E2D8" w:rsidR="00CF4CF2" w:rsidRPr="00B96EDC" w:rsidRDefault="00CF4CF2" w:rsidP="00CF4CF2">
            <w:pPr>
              <w:widowControl w:val="0"/>
              <w:spacing w:after="120"/>
              <w:ind w:right="0"/>
              <w:jc w:val="both"/>
              <w:rPr>
                <w:rFonts w:ascii="Times New Roman" w:hAnsi="Times New Roman" w:cs="Times New Roman"/>
                <w:bCs/>
                <w:color w:val="auto"/>
                <w:sz w:val="24"/>
                <w:szCs w:val="24"/>
                <w:lang w:val="en-GB"/>
              </w:rPr>
            </w:pPr>
            <w:r w:rsidRPr="00B96EDC">
              <w:rPr>
                <w:rFonts w:ascii="Times New Roman" w:hAnsi="Times New Roman" w:cs="Times New Roman"/>
                <w:bCs/>
                <w:color w:val="auto"/>
                <w:sz w:val="24"/>
                <w:szCs w:val="24"/>
                <w:lang w:val="en-GB"/>
              </w:rPr>
              <w:t>238,71</w:t>
            </w:r>
          </w:p>
        </w:tc>
        <w:tc>
          <w:tcPr>
            <w:tcW w:w="2337" w:type="dxa"/>
          </w:tcPr>
          <w:p w14:paraId="480F9AB8" w14:textId="2B0EE799" w:rsidR="00CF4CF2" w:rsidRPr="00B96EDC" w:rsidRDefault="00CF4CF2" w:rsidP="00CF4CF2">
            <w:pPr>
              <w:widowControl w:val="0"/>
              <w:spacing w:after="120"/>
              <w:ind w:right="0"/>
              <w:jc w:val="both"/>
              <w:rPr>
                <w:rFonts w:ascii="Times New Roman" w:hAnsi="Times New Roman" w:cs="Times New Roman"/>
                <w:bCs/>
                <w:color w:val="auto"/>
                <w:sz w:val="24"/>
                <w:szCs w:val="24"/>
                <w:lang w:val="en-GB"/>
              </w:rPr>
            </w:pPr>
            <w:r w:rsidRPr="00B96EDC">
              <w:rPr>
                <w:rFonts w:ascii="Times New Roman" w:hAnsi="Times New Roman" w:cs="Times New Roman"/>
                <w:bCs/>
                <w:color w:val="auto"/>
                <w:sz w:val="24"/>
                <w:szCs w:val="24"/>
                <w:lang w:val="en-GB"/>
              </w:rPr>
              <w:t>243,82</w:t>
            </w:r>
          </w:p>
        </w:tc>
      </w:tr>
      <w:tr w:rsidR="00CF4CF2" w:rsidRPr="00B96EDC" w14:paraId="642DB454" w14:textId="77777777" w:rsidTr="00CF4CF2">
        <w:tc>
          <w:tcPr>
            <w:tcW w:w="2336" w:type="dxa"/>
          </w:tcPr>
          <w:p w14:paraId="75800BE2" w14:textId="58DDFD1B" w:rsidR="00CF4CF2" w:rsidRPr="00B96EDC" w:rsidRDefault="00CF4CF2" w:rsidP="00CF4CF2">
            <w:pPr>
              <w:widowControl w:val="0"/>
              <w:spacing w:after="120"/>
              <w:ind w:right="0"/>
              <w:jc w:val="both"/>
              <w:rPr>
                <w:rFonts w:ascii="Times New Roman" w:hAnsi="Times New Roman" w:cs="Times New Roman"/>
                <w:b/>
                <w:bCs/>
                <w:color w:val="auto"/>
                <w:sz w:val="24"/>
                <w:szCs w:val="24"/>
                <w:lang w:val="en-GB"/>
              </w:rPr>
            </w:pPr>
            <w:r w:rsidRPr="00B96EDC">
              <w:rPr>
                <w:rFonts w:ascii="Times New Roman" w:hAnsi="Times New Roman" w:cs="Times New Roman"/>
                <w:b/>
                <w:color w:val="auto"/>
                <w:sz w:val="24"/>
                <w:szCs w:val="24"/>
                <w:lang w:val="en-GB"/>
              </w:rPr>
              <w:t>Treatable diseases</w:t>
            </w:r>
          </w:p>
        </w:tc>
        <w:tc>
          <w:tcPr>
            <w:tcW w:w="2336" w:type="dxa"/>
          </w:tcPr>
          <w:p w14:paraId="4C54E1CD" w14:textId="24525614" w:rsidR="00CF4CF2" w:rsidRPr="00B96EDC" w:rsidRDefault="00CF4CF2" w:rsidP="00CF4CF2">
            <w:pPr>
              <w:widowControl w:val="0"/>
              <w:spacing w:after="120"/>
              <w:ind w:right="0"/>
              <w:jc w:val="both"/>
              <w:rPr>
                <w:rFonts w:ascii="Times New Roman" w:hAnsi="Times New Roman" w:cs="Times New Roman"/>
                <w:bCs/>
                <w:color w:val="auto"/>
                <w:sz w:val="24"/>
                <w:szCs w:val="24"/>
                <w:lang w:val="en-GB"/>
              </w:rPr>
            </w:pPr>
            <w:r w:rsidRPr="00B96EDC">
              <w:rPr>
                <w:rFonts w:ascii="Times New Roman" w:hAnsi="Times New Roman" w:cs="Times New Roman"/>
                <w:bCs/>
                <w:color w:val="auto"/>
                <w:sz w:val="24"/>
                <w:szCs w:val="24"/>
                <w:lang w:val="en-GB"/>
              </w:rPr>
              <w:t>165,32</w:t>
            </w:r>
          </w:p>
        </w:tc>
        <w:tc>
          <w:tcPr>
            <w:tcW w:w="2337" w:type="dxa"/>
          </w:tcPr>
          <w:p w14:paraId="6F674352" w14:textId="7D5D91F4" w:rsidR="00CF4CF2" w:rsidRPr="00B96EDC" w:rsidRDefault="00CF4CF2" w:rsidP="00CF4CF2">
            <w:pPr>
              <w:widowControl w:val="0"/>
              <w:spacing w:after="120"/>
              <w:ind w:right="0"/>
              <w:jc w:val="both"/>
              <w:rPr>
                <w:rFonts w:ascii="Times New Roman" w:hAnsi="Times New Roman" w:cs="Times New Roman"/>
                <w:bCs/>
                <w:color w:val="auto"/>
                <w:sz w:val="24"/>
                <w:szCs w:val="24"/>
                <w:lang w:val="en-GB"/>
              </w:rPr>
            </w:pPr>
            <w:r w:rsidRPr="00B96EDC">
              <w:rPr>
                <w:rFonts w:ascii="Times New Roman" w:hAnsi="Times New Roman" w:cs="Times New Roman"/>
                <w:bCs/>
                <w:color w:val="auto"/>
                <w:sz w:val="24"/>
                <w:szCs w:val="24"/>
                <w:lang w:val="en-GB"/>
              </w:rPr>
              <w:t>173,71</w:t>
            </w:r>
          </w:p>
        </w:tc>
        <w:tc>
          <w:tcPr>
            <w:tcW w:w="2337" w:type="dxa"/>
          </w:tcPr>
          <w:p w14:paraId="678E966D" w14:textId="6682F20B" w:rsidR="00CF4CF2" w:rsidRPr="00B96EDC" w:rsidRDefault="00CF4CF2" w:rsidP="00CF4CF2">
            <w:pPr>
              <w:widowControl w:val="0"/>
              <w:spacing w:after="120"/>
              <w:ind w:right="0"/>
              <w:jc w:val="both"/>
              <w:rPr>
                <w:rFonts w:ascii="Times New Roman" w:hAnsi="Times New Roman" w:cs="Times New Roman"/>
                <w:bCs/>
                <w:color w:val="auto"/>
                <w:sz w:val="24"/>
                <w:szCs w:val="24"/>
                <w:lang w:val="en-GB"/>
              </w:rPr>
            </w:pPr>
            <w:r w:rsidRPr="00B96EDC">
              <w:rPr>
                <w:rFonts w:ascii="Times New Roman" w:hAnsi="Times New Roman" w:cs="Times New Roman"/>
                <w:bCs/>
                <w:color w:val="auto"/>
                <w:sz w:val="24"/>
                <w:szCs w:val="24"/>
                <w:lang w:val="en-GB"/>
              </w:rPr>
              <w:t>168,31</w:t>
            </w:r>
          </w:p>
        </w:tc>
      </w:tr>
    </w:tbl>
    <w:p w14:paraId="6CD1335C" w14:textId="77777777" w:rsidR="009A0646" w:rsidRPr="00B96EDC" w:rsidRDefault="009A0646" w:rsidP="006E638D">
      <w:pPr>
        <w:widowControl w:val="0"/>
        <w:spacing w:after="120"/>
        <w:ind w:right="0"/>
        <w:jc w:val="both"/>
        <w:rPr>
          <w:rFonts w:ascii="Times New Roman" w:hAnsi="Times New Roman" w:cs="Times New Roman"/>
          <w:b/>
          <w:color w:val="auto"/>
          <w:sz w:val="24"/>
          <w:szCs w:val="24"/>
          <w:lang w:val="en-GB"/>
        </w:rPr>
      </w:pPr>
    </w:p>
    <w:p w14:paraId="323269DD" w14:textId="0211401F" w:rsidR="00CF4CF2" w:rsidRPr="00B96EDC" w:rsidRDefault="009A0646"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b/>
          <w:color w:val="auto"/>
          <w:sz w:val="24"/>
          <w:szCs w:val="24"/>
          <w:lang w:val="en-GB"/>
        </w:rPr>
        <w:t>Measures addressing the diseases representing the main causes of premature death.</w:t>
      </w:r>
    </w:p>
    <w:p w14:paraId="51C5E449" w14:textId="08AE4717" w:rsidR="0057346D" w:rsidRPr="00B96EDC" w:rsidRDefault="000D2038"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w:t>
      </w:r>
      <w:r w:rsidR="00125F6C" w:rsidRPr="00B96EDC">
        <w:rPr>
          <w:rFonts w:ascii="Times New Roman" w:hAnsi="Times New Roman" w:cs="Times New Roman"/>
          <w:color w:val="auto"/>
          <w:sz w:val="24"/>
          <w:szCs w:val="24"/>
          <w:lang w:val="en-GB"/>
        </w:rPr>
        <w:t>.</w:t>
      </w:r>
      <w:r w:rsidR="00125F6C" w:rsidRPr="00B96EDC">
        <w:rPr>
          <w:rFonts w:ascii="Times New Roman" w:hAnsi="Times New Roman" w:cs="Times New Roman"/>
          <w:color w:val="auto"/>
          <w:sz w:val="24"/>
          <w:szCs w:val="24"/>
          <w:lang w:val="en-GB"/>
        </w:rPr>
        <w:tab/>
      </w:r>
      <w:r w:rsidR="00405FB6" w:rsidRPr="00B96EDC">
        <w:rPr>
          <w:rFonts w:ascii="Times New Roman" w:hAnsi="Times New Roman" w:cs="Times New Roman"/>
          <w:color w:val="auto"/>
          <w:sz w:val="24"/>
          <w:szCs w:val="24"/>
          <w:lang w:val="en-GB"/>
        </w:rPr>
        <w:t xml:space="preserve">The </w:t>
      </w:r>
      <w:r w:rsidR="006E638D" w:rsidRPr="00B96EDC">
        <w:rPr>
          <w:rFonts w:ascii="Times New Roman" w:hAnsi="Times New Roman" w:cs="Times New Roman"/>
          <w:color w:val="auto"/>
          <w:sz w:val="24"/>
          <w:szCs w:val="24"/>
          <w:lang w:val="en-GB"/>
        </w:rPr>
        <w:t>diseases that representing main cau</w:t>
      </w:r>
      <w:r w:rsidR="00BF40BB" w:rsidRPr="00B96EDC">
        <w:rPr>
          <w:rFonts w:ascii="Times New Roman" w:hAnsi="Times New Roman" w:cs="Times New Roman"/>
          <w:color w:val="auto"/>
          <w:sz w:val="24"/>
          <w:szCs w:val="24"/>
          <w:lang w:val="en-GB"/>
        </w:rPr>
        <w:t>ses of death in Slovakia remain</w:t>
      </w:r>
      <w:r w:rsidR="006E638D" w:rsidRPr="00B96EDC">
        <w:rPr>
          <w:rFonts w:ascii="Times New Roman" w:hAnsi="Times New Roman" w:cs="Times New Roman"/>
          <w:color w:val="auto"/>
          <w:sz w:val="24"/>
          <w:szCs w:val="24"/>
          <w:lang w:val="en-GB"/>
        </w:rPr>
        <w:t xml:space="preserve"> similar</w:t>
      </w:r>
      <w:r w:rsidR="00405FB6" w:rsidRPr="00B96EDC">
        <w:rPr>
          <w:rFonts w:ascii="Times New Roman" w:hAnsi="Times New Roman" w:cs="Times New Roman"/>
          <w:color w:val="auto"/>
          <w:sz w:val="24"/>
          <w:szCs w:val="24"/>
          <w:lang w:val="en-GB"/>
        </w:rPr>
        <w:t xml:space="preserve"> over the years</w:t>
      </w:r>
      <w:r w:rsidR="006E638D" w:rsidRPr="00B96EDC">
        <w:rPr>
          <w:rFonts w:ascii="Times New Roman" w:hAnsi="Times New Roman" w:cs="Times New Roman"/>
          <w:color w:val="auto"/>
          <w:sz w:val="24"/>
          <w:szCs w:val="24"/>
          <w:lang w:val="en-GB"/>
        </w:rPr>
        <w:t xml:space="preserve">, with chronic ischemic heart disease and circulatory system diseases (International Classification of Diseases: I20 – I25) being the most common diseases causing death in the Slovak Republic, followed by malignant neoplasms of the digestive organs (International Classification of Diseases: C15 – C26), vascular diseases of a brain (International Classification of Diseases: I60 </w:t>
      </w:r>
      <w:r w:rsidR="006E638D" w:rsidRPr="00B96EDC">
        <w:rPr>
          <w:rFonts w:ascii="Times New Roman" w:hAnsi="Times New Roman" w:cs="Times New Roman"/>
          <w:color w:val="auto"/>
          <w:sz w:val="24"/>
          <w:szCs w:val="24"/>
          <w:lang w:val="en-GB"/>
        </w:rPr>
        <w:lastRenderedPageBreak/>
        <w:t>– I69), other heart diseases (International Classification of Diseases: I30 – I52) and acute upper respiratory tract infections ((International Classification of D</w:t>
      </w:r>
      <w:r w:rsidR="0057346D" w:rsidRPr="00B96EDC">
        <w:rPr>
          <w:rFonts w:ascii="Times New Roman" w:hAnsi="Times New Roman" w:cs="Times New Roman"/>
          <w:color w:val="auto"/>
          <w:sz w:val="24"/>
          <w:szCs w:val="24"/>
          <w:lang w:val="en-GB"/>
        </w:rPr>
        <w:t>isea</w:t>
      </w:r>
      <w:r w:rsidR="007A27DB" w:rsidRPr="00B96EDC">
        <w:rPr>
          <w:rFonts w:ascii="Times New Roman" w:hAnsi="Times New Roman" w:cs="Times New Roman"/>
          <w:color w:val="auto"/>
          <w:sz w:val="24"/>
          <w:szCs w:val="24"/>
          <w:lang w:val="en-GB"/>
        </w:rPr>
        <w:t>ses: J09 – J18) (Table No. 4</w:t>
      </w:r>
      <w:r w:rsidR="0057346D" w:rsidRPr="00B96EDC">
        <w:rPr>
          <w:rFonts w:ascii="Times New Roman" w:hAnsi="Times New Roman" w:cs="Times New Roman"/>
          <w:color w:val="auto"/>
          <w:sz w:val="24"/>
          <w:szCs w:val="24"/>
          <w:lang w:val="en-GB"/>
        </w:rPr>
        <w:t>).</w:t>
      </w:r>
      <w:r w:rsidR="006E638D" w:rsidRPr="00B96EDC">
        <w:rPr>
          <w:rStyle w:val="Odkaznapoznmkupodiarou"/>
          <w:rFonts w:ascii="Times New Roman" w:hAnsi="Times New Roman" w:cs="Times New Roman"/>
          <w:color w:val="auto"/>
          <w:sz w:val="24"/>
          <w:szCs w:val="24"/>
          <w:lang w:val="en-GB"/>
        </w:rPr>
        <w:footnoteReference w:id="8"/>
      </w:r>
    </w:p>
    <w:p w14:paraId="0B746ED8" w14:textId="2893A00A" w:rsidR="0057346D" w:rsidRPr="00B96EDC" w:rsidRDefault="0057346D" w:rsidP="006E638D">
      <w:pPr>
        <w:widowControl w:val="0"/>
        <w:spacing w:after="120"/>
        <w:ind w:right="0"/>
        <w:jc w:val="both"/>
        <w:rPr>
          <w:rFonts w:ascii="Times New Roman" w:hAnsi="Times New Roman" w:cs="Times New Roman"/>
          <w:i/>
          <w:color w:val="auto"/>
          <w:sz w:val="24"/>
          <w:szCs w:val="24"/>
          <w:lang w:val="en-GB"/>
        </w:rPr>
      </w:pPr>
      <w:r w:rsidRPr="00B96EDC">
        <w:rPr>
          <w:rFonts w:ascii="Times New Roman" w:hAnsi="Times New Roman" w:cs="Times New Roman"/>
          <w:b/>
          <w:color w:val="auto"/>
          <w:sz w:val="24"/>
          <w:szCs w:val="24"/>
          <w:lang w:val="en-GB"/>
        </w:rPr>
        <w:t>Table</w:t>
      </w:r>
      <w:r w:rsidR="007A27DB" w:rsidRPr="00B96EDC">
        <w:rPr>
          <w:rFonts w:ascii="Times New Roman" w:hAnsi="Times New Roman" w:cs="Times New Roman"/>
          <w:b/>
          <w:color w:val="auto"/>
          <w:sz w:val="24"/>
          <w:szCs w:val="24"/>
          <w:lang w:val="en-GB"/>
        </w:rPr>
        <w:t xml:space="preserve"> No. 4</w:t>
      </w:r>
      <w:r w:rsidRPr="00B96EDC">
        <w:rPr>
          <w:rFonts w:ascii="Times New Roman" w:hAnsi="Times New Roman" w:cs="Times New Roman"/>
          <w:b/>
          <w:color w:val="auto"/>
          <w:sz w:val="24"/>
          <w:szCs w:val="24"/>
          <w:lang w:val="en-GB"/>
        </w:rPr>
        <w:t>:</w:t>
      </w:r>
      <w:r w:rsidRPr="00B96EDC">
        <w:rPr>
          <w:rFonts w:ascii="Times New Roman" w:hAnsi="Times New Roman" w:cs="Times New Roman"/>
          <w:color w:val="auto"/>
          <w:sz w:val="24"/>
          <w:szCs w:val="24"/>
          <w:lang w:val="en-GB"/>
        </w:rPr>
        <w:t xml:space="preserve"> </w:t>
      </w:r>
      <w:r w:rsidRPr="00B96EDC">
        <w:rPr>
          <w:rFonts w:ascii="Times New Roman" w:hAnsi="Times New Roman" w:cs="Times New Roman"/>
          <w:i/>
          <w:color w:val="auto"/>
          <w:sz w:val="24"/>
          <w:szCs w:val="24"/>
          <w:lang w:val="en-GB"/>
        </w:rPr>
        <w:t xml:space="preserve">Number of death </w:t>
      </w:r>
      <w:r w:rsidR="00DB1ACF" w:rsidRPr="00B96EDC">
        <w:rPr>
          <w:rFonts w:ascii="Times New Roman" w:hAnsi="Times New Roman" w:cs="Times New Roman"/>
          <w:i/>
          <w:color w:val="auto"/>
          <w:sz w:val="24"/>
          <w:szCs w:val="24"/>
          <w:lang w:val="en-GB"/>
        </w:rPr>
        <w:t xml:space="preserve">to </w:t>
      </w:r>
      <w:r w:rsidRPr="00B96EDC">
        <w:rPr>
          <w:rFonts w:ascii="Times New Roman" w:hAnsi="Times New Roman" w:cs="Times New Roman"/>
          <w:i/>
          <w:color w:val="auto"/>
          <w:sz w:val="24"/>
          <w:szCs w:val="24"/>
          <w:lang w:val="en-GB"/>
        </w:rPr>
        <w:t>the most common causes of death by diagnosis group</w:t>
      </w:r>
      <w:r w:rsidR="00DB1ACF" w:rsidRPr="00B96EDC">
        <w:rPr>
          <w:rFonts w:ascii="Times New Roman" w:hAnsi="Times New Roman" w:cs="Times New Roman"/>
          <w:i/>
          <w:color w:val="auto"/>
          <w:sz w:val="24"/>
          <w:szCs w:val="24"/>
          <w:lang w:val="en-GB"/>
        </w:rPr>
        <w:t xml:space="preserve"> per 100 000 inhabitants for the year 2019</w:t>
      </w:r>
      <w:r w:rsidR="00DB1ACF" w:rsidRPr="00B96EDC">
        <w:rPr>
          <w:rStyle w:val="Odkaznapoznmkupodiarou"/>
          <w:rFonts w:ascii="Times New Roman" w:hAnsi="Times New Roman" w:cs="Times New Roman"/>
          <w:i/>
          <w:color w:val="auto"/>
          <w:sz w:val="24"/>
          <w:szCs w:val="24"/>
          <w:lang w:val="en-GB"/>
        </w:rPr>
        <w:footnoteReference w:id="9"/>
      </w:r>
    </w:p>
    <w:tbl>
      <w:tblPr>
        <w:tblStyle w:val="Mriekatabuky"/>
        <w:tblW w:w="0" w:type="auto"/>
        <w:tblLook w:val="04A0" w:firstRow="1" w:lastRow="0" w:firstColumn="1" w:lastColumn="0" w:noHBand="0" w:noVBand="1"/>
      </w:tblPr>
      <w:tblGrid>
        <w:gridCol w:w="2336"/>
        <w:gridCol w:w="2336"/>
        <w:gridCol w:w="2337"/>
        <w:gridCol w:w="2337"/>
      </w:tblGrid>
      <w:tr w:rsidR="0057346D" w:rsidRPr="00B96EDC" w14:paraId="7B6B3C34" w14:textId="77777777" w:rsidTr="0057346D">
        <w:tc>
          <w:tcPr>
            <w:tcW w:w="2336" w:type="dxa"/>
          </w:tcPr>
          <w:p w14:paraId="38C9D69E" w14:textId="76808A25" w:rsidR="0057346D" w:rsidRPr="00B96EDC" w:rsidRDefault="0057346D" w:rsidP="006E638D">
            <w:pPr>
              <w:widowControl w:val="0"/>
              <w:spacing w:after="120"/>
              <w:ind w:right="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Diagnosis group</w:t>
            </w:r>
          </w:p>
        </w:tc>
        <w:tc>
          <w:tcPr>
            <w:tcW w:w="2336" w:type="dxa"/>
          </w:tcPr>
          <w:p w14:paraId="323B507A" w14:textId="4C89D529" w:rsidR="0057346D" w:rsidRPr="00B96EDC" w:rsidRDefault="0057346D" w:rsidP="006E638D">
            <w:pPr>
              <w:widowControl w:val="0"/>
              <w:spacing w:after="120"/>
              <w:ind w:right="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Males</w:t>
            </w:r>
          </w:p>
        </w:tc>
        <w:tc>
          <w:tcPr>
            <w:tcW w:w="2337" w:type="dxa"/>
          </w:tcPr>
          <w:p w14:paraId="288B336F" w14:textId="12491548" w:rsidR="0057346D" w:rsidRPr="00B96EDC" w:rsidRDefault="0057346D" w:rsidP="006E638D">
            <w:pPr>
              <w:widowControl w:val="0"/>
              <w:spacing w:after="120"/>
              <w:ind w:right="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Females</w:t>
            </w:r>
          </w:p>
        </w:tc>
        <w:tc>
          <w:tcPr>
            <w:tcW w:w="2337" w:type="dxa"/>
          </w:tcPr>
          <w:p w14:paraId="7F40FE5D" w14:textId="06253381" w:rsidR="0057346D" w:rsidRPr="00B96EDC" w:rsidRDefault="0057346D" w:rsidP="006E638D">
            <w:pPr>
              <w:widowControl w:val="0"/>
              <w:spacing w:after="120"/>
              <w:ind w:right="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Total</w:t>
            </w:r>
          </w:p>
        </w:tc>
      </w:tr>
      <w:tr w:rsidR="0057346D" w:rsidRPr="00B96EDC" w14:paraId="53EE6C67" w14:textId="77777777" w:rsidTr="0057346D">
        <w:tc>
          <w:tcPr>
            <w:tcW w:w="2336" w:type="dxa"/>
          </w:tcPr>
          <w:p w14:paraId="5BF191FF" w14:textId="54125E1B" w:rsidR="0057346D" w:rsidRPr="00B96EDC" w:rsidRDefault="0057346D"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I20 – I25</w:t>
            </w:r>
          </w:p>
        </w:tc>
        <w:tc>
          <w:tcPr>
            <w:tcW w:w="2336" w:type="dxa"/>
          </w:tcPr>
          <w:p w14:paraId="5D7ACE42" w14:textId="458A213A" w:rsidR="0057346D" w:rsidRPr="00B96EDC" w:rsidRDefault="0057346D"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243,7</w:t>
            </w:r>
          </w:p>
        </w:tc>
        <w:tc>
          <w:tcPr>
            <w:tcW w:w="2337" w:type="dxa"/>
          </w:tcPr>
          <w:p w14:paraId="4B47A606" w14:textId="04851BEE" w:rsidR="0057346D" w:rsidRPr="00B96EDC" w:rsidRDefault="0057346D"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282</w:t>
            </w:r>
          </w:p>
        </w:tc>
        <w:tc>
          <w:tcPr>
            <w:tcW w:w="2337" w:type="dxa"/>
          </w:tcPr>
          <w:p w14:paraId="16B90B2D" w14:textId="7B9003C0" w:rsidR="0057346D" w:rsidRPr="00B96EDC" w:rsidRDefault="0057346D"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263,3</w:t>
            </w:r>
          </w:p>
        </w:tc>
      </w:tr>
      <w:tr w:rsidR="0057346D" w:rsidRPr="00B96EDC" w14:paraId="1B5AC4A6" w14:textId="77777777" w:rsidTr="0057346D">
        <w:tc>
          <w:tcPr>
            <w:tcW w:w="2336" w:type="dxa"/>
          </w:tcPr>
          <w:p w14:paraId="7CC187F3" w14:textId="1AE51230" w:rsidR="0057346D" w:rsidRPr="00B96EDC" w:rsidRDefault="0057346D"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C15 – C26</w:t>
            </w:r>
          </w:p>
        </w:tc>
        <w:tc>
          <w:tcPr>
            <w:tcW w:w="2336" w:type="dxa"/>
          </w:tcPr>
          <w:p w14:paraId="278981FF" w14:textId="2DE5D0ED"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97,5</w:t>
            </w:r>
          </w:p>
        </w:tc>
        <w:tc>
          <w:tcPr>
            <w:tcW w:w="2337" w:type="dxa"/>
          </w:tcPr>
          <w:p w14:paraId="614CCBE8" w14:textId="7FF5AE2B"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63,7</w:t>
            </w:r>
          </w:p>
        </w:tc>
        <w:tc>
          <w:tcPr>
            <w:tcW w:w="2337" w:type="dxa"/>
          </w:tcPr>
          <w:p w14:paraId="5A376CEE" w14:textId="7EE72591"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80,2</w:t>
            </w:r>
          </w:p>
        </w:tc>
      </w:tr>
      <w:tr w:rsidR="0057346D" w:rsidRPr="00B96EDC" w14:paraId="7E19B0DC" w14:textId="77777777" w:rsidTr="0057346D">
        <w:tc>
          <w:tcPr>
            <w:tcW w:w="2336" w:type="dxa"/>
          </w:tcPr>
          <w:p w14:paraId="0436D426" w14:textId="3D3A2E2F" w:rsidR="0057346D" w:rsidRPr="00B96EDC" w:rsidRDefault="0057346D"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I60 – I69 </w:t>
            </w:r>
          </w:p>
        </w:tc>
        <w:tc>
          <w:tcPr>
            <w:tcW w:w="2336" w:type="dxa"/>
          </w:tcPr>
          <w:p w14:paraId="46755FFD" w14:textId="035ABBC8"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77</w:t>
            </w:r>
          </w:p>
        </w:tc>
        <w:tc>
          <w:tcPr>
            <w:tcW w:w="2337" w:type="dxa"/>
          </w:tcPr>
          <w:p w14:paraId="1FF050DE" w14:textId="2E647168"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79,9</w:t>
            </w:r>
          </w:p>
        </w:tc>
        <w:tc>
          <w:tcPr>
            <w:tcW w:w="2337" w:type="dxa"/>
          </w:tcPr>
          <w:p w14:paraId="615B13F6" w14:textId="633AE6A3"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78,5</w:t>
            </w:r>
          </w:p>
        </w:tc>
      </w:tr>
      <w:tr w:rsidR="0057346D" w:rsidRPr="00B96EDC" w14:paraId="570BBBFA" w14:textId="77777777" w:rsidTr="0057346D">
        <w:tc>
          <w:tcPr>
            <w:tcW w:w="2336" w:type="dxa"/>
          </w:tcPr>
          <w:p w14:paraId="3AA2E8B9" w14:textId="6FC23889" w:rsidR="0057346D" w:rsidRPr="00B96EDC" w:rsidRDefault="0057346D"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I30 – I52 </w:t>
            </w:r>
          </w:p>
        </w:tc>
        <w:tc>
          <w:tcPr>
            <w:tcW w:w="2336" w:type="dxa"/>
          </w:tcPr>
          <w:p w14:paraId="16C6E457" w14:textId="1F6EEBF5"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56,8</w:t>
            </w:r>
          </w:p>
        </w:tc>
        <w:tc>
          <w:tcPr>
            <w:tcW w:w="2337" w:type="dxa"/>
          </w:tcPr>
          <w:p w14:paraId="67329CFE" w14:textId="05E3B36E"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60,5</w:t>
            </w:r>
          </w:p>
        </w:tc>
        <w:tc>
          <w:tcPr>
            <w:tcW w:w="2337" w:type="dxa"/>
          </w:tcPr>
          <w:p w14:paraId="1BBDAFBE" w14:textId="37E1AFA1"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58,7</w:t>
            </w:r>
          </w:p>
        </w:tc>
      </w:tr>
      <w:tr w:rsidR="0057346D" w:rsidRPr="00B96EDC" w14:paraId="4EA7A9A1" w14:textId="77777777" w:rsidTr="0057346D">
        <w:tc>
          <w:tcPr>
            <w:tcW w:w="2336" w:type="dxa"/>
          </w:tcPr>
          <w:p w14:paraId="7837493F" w14:textId="4F06AB10" w:rsidR="0057346D" w:rsidRPr="00B96EDC" w:rsidRDefault="0057346D"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J09 – J18 </w:t>
            </w:r>
          </w:p>
        </w:tc>
        <w:tc>
          <w:tcPr>
            <w:tcW w:w="2336" w:type="dxa"/>
          </w:tcPr>
          <w:p w14:paraId="7C01F782" w14:textId="075B0944"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50,7</w:t>
            </w:r>
          </w:p>
        </w:tc>
        <w:tc>
          <w:tcPr>
            <w:tcW w:w="2337" w:type="dxa"/>
          </w:tcPr>
          <w:p w14:paraId="72813FB8" w14:textId="6DD7E472"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46,4</w:t>
            </w:r>
          </w:p>
        </w:tc>
        <w:tc>
          <w:tcPr>
            <w:tcW w:w="2337" w:type="dxa"/>
          </w:tcPr>
          <w:p w14:paraId="63765BAB" w14:textId="2B882924" w:rsidR="0057346D" w:rsidRPr="00B96EDC" w:rsidRDefault="00F562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48,5</w:t>
            </w:r>
          </w:p>
        </w:tc>
      </w:tr>
    </w:tbl>
    <w:p w14:paraId="52CE194E" w14:textId="77777777" w:rsidR="009A0646" w:rsidRPr="00B96EDC" w:rsidRDefault="009A0646" w:rsidP="006E638D">
      <w:pPr>
        <w:widowControl w:val="0"/>
        <w:spacing w:after="120"/>
        <w:ind w:right="0"/>
        <w:jc w:val="both"/>
        <w:rPr>
          <w:rFonts w:ascii="Times New Roman" w:hAnsi="Times New Roman" w:cs="Times New Roman"/>
          <w:color w:val="auto"/>
          <w:sz w:val="24"/>
          <w:szCs w:val="24"/>
          <w:lang w:val="en-GB"/>
        </w:rPr>
      </w:pPr>
    </w:p>
    <w:p w14:paraId="198A1486" w14:textId="1034C09E" w:rsidR="000D2038" w:rsidRPr="00B96EDC" w:rsidRDefault="000D2038"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w:t>
      </w:r>
      <w:r w:rsidR="00125F6C" w:rsidRPr="00B96EDC">
        <w:rPr>
          <w:rFonts w:ascii="Times New Roman" w:hAnsi="Times New Roman" w:cs="Times New Roman"/>
          <w:color w:val="auto"/>
          <w:sz w:val="24"/>
          <w:szCs w:val="24"/>
          <w:lang w:val="en-GB"/>
        </w:rPr>
        <w:t>.</w:t>
      </w:r>
      <w:r w:rsidR="00125F6C" w:rsidRPr="00B96EDC">
        <w:rPr>
          <w:rFonts w:ascii="Times New Roman" w:hAnsi="Times New Roman" w:cs="Times New Roman"/>
          <w:color w:val="auto"/>
          <w:sz w:val="24"/>
          <w:szCs w:val="24"/>
          <w:lang w:val="en-GB"/>
        </w:rPr>
        <w:tab/>
      </w:r>
      <w:r w:rsidR="00027A92" w:rsidRPr="00B96EDC">
        <w:rPr>
          <w:rFonts w:ascii="Times New Roman" w:hAnsi="Times New Roman" w:cs="Times New Roman"/>
          <w:color w:val="auto"/>
          <w:sz w:val="24"/>
          <w:szCs w:val="24"/>
          <w:lang w:val="en-GB"/>
        </w:rPr>
        <w:t>According to the United Nations Committee on Economic, Social and Cultural Rights, there ar</w:t>
      </w:r>
      <w:r w:rsidR="00BF40BB" w:rsidRPr="00B96EDC">
        <w:rPr>
          <w:rFonts w:ascii="Times New Roman" w:hAnsi="Times New Roman" w:cs="Times New Roman"/>
          <w:color w:val="auto"/>
          <w:sz w:val="24"/>
          <w:szCs w:val="24"/>
          <w:lang w:val="en-GB"/>
        </w:rPr>
        <w:t>e systemic weaknesses in health</w:t>
      </w:r>
      <w:r w:rsidR="00027A92" w:rsidRPr="00B96EDC">
        <w:rPr>
          <w:rFonts w:ascii="Times New Roman" w:hAnsi="Times New Roman" w:cs="Times New Roman"/>
          <w:color w:val="auto"/>
          <w:sz w:val="24"/>
          <w:szCs w:val="24"/>
          <w:lang w:val="en-GB"/>
        </w:rPr>
        <w:t>care provisions in the Slovak Republic.</w:t>
      </w:r>
      <w:r w:rsidR="00027A92" w:rsidRPr="00B96EDC">
        <w:rPr>
          <w:rStyle w:val="Odkaznapoznmkupodiarou"/>
          <w:rFonts w:ascii="Times New Roman" w:hAnsi="Times New Roman" w:cs="Times New Roman"/>
          <w:color w:val="auto"/>
          <w:sz w:val="24"/>
          <w:szCs w:val="24"/>
          <w:lang w:val="en-GB"/>
        </w:rPr>
        <w:footnoteReference w:id="10"/>
      </w:r>
      <w:r w:rsidR="00027A92" w:rsidRPr="00B96EDC">
        <w:rPr>
          <w:rFonts w:ascii="Times New Roman" w:hAnsi="Times New Roman" w:cs="Times New Roman"/>
          <w:color w:val="auto"/>
          <w:sz w:val="24"/>
          <w:szCs w:val="24"/>
          <w:lang w:val="en-GB"/>
        </w:rPr>
        <w:t xml:space="preserve"> These include infrastructure of a poor quality due to a lack of investment, limited screening facilities, gaps in geographical coverage of some health-care services and low numbers of doctors and nurses in some regions.</w:t>
      </w:r>
      <w:r w:rsidR="00027A92" w:rsidRPr="00B96EDC">
        <w:rPr>
          <w:rStyle w:val="Odkaznapoznmkupodiarou"/>
          <w:rFonts w:ascii="Times New Roman" w:hAnsi="Times New Roman" w:cs="Times New Roman"/>
          <w:color w:val="auto"/>
          <w:sz w:val="24"/>
          <w:szCs w:val="24"/>
          <w:lang w:val="en-GB"/>
        </w:rPr>
        <w:footnoteReference w:id="11"/>
      </w:r>
      <w:r w:rsidR="00027A92" w:rsidRPr="00B96EDC">
        <w:rPr>
          <w:rFonts w:ascii="Times New Roman" w:hAnsi="Times New Roman" w:cs="Times New Roman"/>
          <w:color w:val="auto"/>
          <w:sz w:val="24"/>
          <w:szCs w:val="24"/>
          <w:lang w:val="en-GB"/>
        </w:rPr>
        <w:t xml:space="preserve"> </w:t>
      </w:r>
    </w:p>
    <w:p w14:paraId="1B0CAC26" w14:textId="02C2DEF9" w:rsidR="00125F6C" w:rsidRPr="00B96EDC" w:rsidRDefault="008A7805" w:rsidP="006E638D">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6.</w:t>
      </w:r>
      <w:r w:rsidRPr="00B96EDC">
        <w:rPr>
          <w:rFonts w:ascii="Times New Roman" w:hAnsi="Times New Roman" w:cs="Times New Roman"/>
          <w:color w:val="auto"/>
          <w:sz w:val="24"/>
          <w:szCs w:val="24"/>
          <w:lang w:val="en-GB"/>
        </w:rPr>
        <w:tab/>
      </w:r>
      <w:r w:rsidR="00027A92" w:rsidRPr="00B96EDC">
        <w:rPr>
          <w:rFonts w:ascii="Times New Roman" w:hAnsi="Times New Roman" w:cs="Times New Roman"/>
          <w:color w:val="auto"/>
          <w:sz w:val="24"/>
          <w:szCs w:val="24"/>
          <w:lang w:val="en-GB"/>
        </w:rPr>
        <w:t xml:space="preserve">The lack of investments to provision of healthcare has </w:t>
      </w:r>
      <w:r w:rsidRPr="00B96EDC">
        <w:rPr>
          <w:rFonts w:ascii="Times New Roman" w:hAnsi="Times New Roman" w:cs="Times New Roman"/>
          <w:color w:val="auto"/>
          <w:sz w:val="24"/>
          <w:szCs w:val="24"/>
          <w:lang w:val="en-GB"/>
        </w:rPr>
        <w:t xml:space="preserve">been </w:t>
      </w:r>
      <w:r w:rsidR="00BF40BB" w:rsidRPr="00B96EDC">
        <w:rPr>
          <w:rFonts w:ascii="Times New Roman" w:hAnsi="Times New Roman" w:cs="Times New Roman"/>
          <w:color w:val="auto"/>
          <w:sz w:val="24"/>
          <w:szCs w:val="24"/>
          <w:lang w:val="en-GB"/>
        </w:rPr>
        <w:t xml:space="preserve">also </w:t>
      </w:r>
      <w:r w:rsidR="00027A92" w:rsidRPr="00B96EDC">
        <w:rPr>
          <w:rFonts w:ascii="Times New Roman" w:hAnsi="Times New Roman" w:cs="Times New Roman"/>
          <w:color w:val="auto"/>
          <w:sz w:val="24"/>
          <w:szCs w:val="24"/>
          <w:lang w:val="en-GB"/>
        </w:rPr>
        <w:t>noticed</w:t>
      </w:r>
      <w:r w:rsidRPr="00B96EDC">
        <w:rPr>
          <w:rFonts w:ascii="Times New Roman" w:hAnsi="Times New Roman" w:cs="Times New Roman"/>
          <w:color w:val="auto"/>
          <w:sz w:val="24"/>
          <w:szCs w:val="24"/>
          <w:lang w:val="en-GB"/>
        </w:rPr>
        <w:t xml:space="preserve"> by</w:t>
      </w:r>
      <w:r w:rsidR="00027A92" w:rsidRPr="00B96EDC">
        <w:rPr>
          <w:rFonts w:ascii="Times New Roman" w:hAnsi="Times New Roman" w:cs="Times New Roman"/>
          <w:color w:val="auto"/>
          <w:sz w:val="24"/>
          <w:szCs w:val="24"/>
          <w:lang w:val="en-GB"/>
        </w:rPr>
        <w:t xml:space="preserve"> </w:t>
      </w:r>
      <w:r w:rsidR="00624C76" w:rsidRPr="00B96EDC">
        <w:rPr>
          <w:rFonts w:ascii="Times New Roman" w:hAnsi="Times New Roman" w:cs="Times New Roman"/>
          <w:color w:val="auto"/>
          <w:sz w:val="24"/>
          <w:szCs w:val="24"/>
          <w:lang w:val="en-GB"/>
        </w:rPr>
        <w:t>the</w:t>
      </w:r>
      <w:r w:rsidR="00027A92" w:rsidRPr="00B96EDC">
        <w:rPr>
          <w:rFonts w:ascii="Times New Roman" w:hAnsi="Times New Roman" w:cs="Times New Roman"/>
          <w:color w:val="auto"/>
          <w:sz w:val="24"/>
          <w:szCs w:val="24"/>
          <w:lang w:val="en-GB"/>
        </w:rPr>
        <w:t xml:space="preserve"> Organization for Economic Cooperation and Development</w:t>
      </w:r>
      <w:r w:rsidR="00BF40BB" w:rsidRPr="00B96EDC">
        <w:rPr>
          <w:rFonts w:ascii="Times New Roman" w:hAnsi="Times New Roman" w:cs="Times New Roman"/>
          <w:color w:val="auto"/>
          <w:sz w:val="24"/>
          <w:szCs w:val="24"/>
          <w:lang w:val="en-GB"/>
        </w:rPr>
        <w:t xml:space="preserve"> (OECD)</w:t>
      </w:r>
      <w:r w:rsidR="00027A92" w:rsidRPr="00B96EDC">
        <w:rPr>
          <w:rFonts w:ascii="Times New Roman" w:hAnsi="Times New Roman" w:cs="Times New Roman"/>
          <w:color w:val="auto"/>
          <w:sz w:val="24"/>
          <w:szCs w:val="24"/>
          <w:lang w:val="en-GB"/>
        </w:rPr>
        <w:t>, according to which the Slovak Republic “</w:t>
      </w:r>
      <w:r w:rsidR="00027A92" w:rsidRPr="00B96EDC">
        <w:rPr>
          <w:rFonts w:ascii="Times New Roman" w:hAnsi="Times New Roman" w:cs="Times New Roman"/>
          <w:i/>
          <w:color w:val="auto"/>
          <w:sz w:val="24"/>
          <w:szCs w:val="24"/>
          <w:lang w:val="en-GB"/>
        </w:rPr>
        <w:t xml:space="preserve">spends much less on health than the EU average, both in absolute terms (EUR 1 600 per person in 2017, adjusted for differences in purchasing </w:t>
      </w:r>
      <w:r w:rsidR="00624C76" w:rsidRPr="00B96EDC">
        <w:rPr>
          <w:rFonts w:ascii="Times New Roman" w:hAnsi="Times New Roman" w:cs="Times New Roman"/>
          <w:i/>
          <w:color w:val="auto"/>
          <w:sz w:val="24"/>
          <w:szCs w:val="24"/>
          <w:lang w:val="en-GB"/>
        </w:rPr>
        <w:t>power) and as a share of GDP (6,</w:t>
      </w:r>
      <w:r w:rsidR="00027A92" w:rsidRPr="00B96EDC">
        <w:rPr>
          <w:rFonts w:ascii="Times New Roman" w:hAnsi="Times New Roman" w:cs="Times New Roman"/>
          <w:i/>
          <w:color w:val="auto"/>
          <w:sz w:val="24"/>
          <w:szCs w:val="24"/>
          <w:lang w:val="en-GB"/>
        </w:rPr>
        <w:t>7 %)</w:t>
      </w:r>
      <w:r w:rsidR="00027A92" w:rsidRPr="00B96EDC">
        <w:rPr>
          <w:rFonts w:ascii="Times New Roman" w:hAnsi="Times New Roman" w:cs="Times New Roman"/>
          <w:color w:val="auto"/>
          <w:sz w:val="24"/>
          <w:szCs w:val="24"/>
          <w:lang w:val="en-GB"/>
        </w:rPr>
        <w:t>.”</w:t>
      </w:r>
      <w:r w:rsidR="00027A92" w:rsidRPr="00B96EDC">
        <w:rPr>
          <w:rStyle w:val="Odkaznapoznmkupodiarou"/>
          <w:rFonts w:ascii="Times New Roman" w:hAnsi="Times New Roman" w:cs="Times New Roman"/>
          <w:color w:val="auto"/>
          <w:sz w:val="24"/>
          <w:szCs w:val="24"/>
          <w:lang w:val="en-GB"/>
        </w:rPr>
        <w:footnoteReference w:id="12"/>
      </w:r>
      <w:r w:rsidR="00027A92" w:rsidRPr="00B96EDC">
        <w:rPr>
          <w:rFonts w:ascii="Times New Roman" w:hAnsi="Times New Roman" w:cs="Times New Roman"/>
          <w:color w:val="auto"/>
          <w:sz w:val="24"/>
          <w:szCs w:val="24"/>
          <w:lang w:val="en-GB"/>
        </w:rPr>
        <w:t xml:space="preserve"> The situation is especially concerning due to the f</w:t>
      </w:r>
      <w:r w:rsidR="00624C76" w:rsidRPr="00B96EDC">
        <w:rPr>
          <w:rFonts w:ascii="Times New Roman" w:hAnsi="Times New Roman" w:cs="Times New Roman"/>
          <w:color w:val="auto"/>
          <w:sz w:val="24"/>
          <w:szCs w:val="24"/>
          <w:lang w:val="en-GB"/>
        </w:rPr>
        <w:t>act, that the Slovak Republic has been</w:t>
      </w:r>
      <w:r w:rsidR="00027A92" w:rsidRPr="00B96EDC">
        <w:rPr>
          <w:rFonts w:ascii="Times New Roman" w:hAnsi="Times New Roman" w:cs="Times New Roman"/>
          <w:color w:val="auto"/>
          <w:sz w:val="24"/>
          <w:szCs w:val="24"/>
          <w:lang w:val="en-GB"/>
        </w:rPr>
        <w:t xml:space="preserve"> </w:t>
      </w:r>
      <w:r w:rsidR="00BF40BB" w:rsidRPr="00B96EDC">
        <w:rPr>
          <w:rFonts w:ascii="Times New Roman" w:hAnsi="Times New Roman" w:cs="Times New Roman"/>
          <w:color w:val="auto"/>
          <w:sz w:val="24"/>
          <w:szCs w:val="24"/>
          <w:lang w:val="en-GB"/>
        </w:rPr>
        <w:t>regularly decreasing its</w:t>
      </w:r>
      <w:r w:rsidRPr="00B96EDC">
        <w:rPr>
          <w:rFonts w:ascii="Times New Roman" w:hAnsi="Times New Roman" w:cs="Times New Roman"/>
          <w:color w:val="auto"/>
          <w:sz w:val="24"/>
          <w:szCs w:val="24"/>
          <w:lang w:val="en-GB"/>
        </w:rPr>
        <w:t xml:space="preserve"> investments </w:t>
      </w:r>
      <w:r w:rsidR="00624C76" w:rsidRPr="00B96EDC">
        <w:rPr>
          <w:rFonts w:ascii="Times New Roman" w:hAnsi="Times New Roman" w:cs="Times New Roman"/>
          <w:color w:val="auto"/>
          <w:sz w:val="24"/>
          <w:szCs w:val="24"/>
          <w:lang w:val="en-GB"/>
        </w:rPr>
        <w:t xml:space="preserve">to </w:t>
      </w:r>
      <w:r w:rsidR="00BF40BB" w:rsidRPr="00B96EDC">
        <w:rPr>
          <w:rFonts w:ascii="Times New Roman" w:hAnsi="Times New Roman" w:cs="Times New Roman"/>
          <w:color w:val="auto"/>
          <w:sz w:val="24"/>
          <w:szCs w:val="24"/>
          <w:lang w:val="en-GB"/>
        </w:rPr>
        <w:t xml:space="preserve">healthcare </w:t>
      </w:r>
      <w:r w:rsidR="00624C76" w:rsidRPr="00B96EDC">
        <w:rPr>
          <w:rFonts w:ascii="Times New Roman" w:hAnsi="Times New Roman" w:cs="Times New Roman"/>
          <w:color w:val="auto"/>
          <w:sz w:val="24"/>
          <w:szCs w:val="24"/>
          <w:lang w:val="en-GB"/>
        </w:rPr>
        <w:t>since 2016</w:t>
      </w:r>
      <w:r w:rsidR="00BF40BB" w:rsidRPr="00B96EDC">
        <w:rPr>
          <w:rFonts w:ascii="Times New Roman" w:hAnsi="Times New Roman" w:cs="Times New Roman"/>
          <w:color w:val="auto"/>
          <w:sz w:val="24"/>
          <w:szCs w:val="24"/>
          <w:lang w:val="en-GB"/>
        </w:rPr>
        <w:t xml:space="preserve"> (as a share of GDP)</w:t>
      </w:r>
      <w:r w:rsidR="00624C76" w:rsidRPr="00B96EDC">
        <w:rPr>
          <w:rFonts w:ascii="Times New Roman" w:hAnsi="Times New Roman" w:cs="Times New Roman"/>
          <w:color w:val="auto"/>
          <w:sz w:val="24"/>
          <w:szCs w:val="24"/>
          <w:lang w:val="en-GB"/>
        </w:rPr>
        <w:t xml:space="preserve">. </w:t>
      </w:r>
    </w:p>
    <w:p w14:paraId="49A83B7B" w14:textId="4D122911" w:rsidR="00E04D8E" w:rsidRPr="00B96EDC" w:rsidRDefault="008A7805" w:rsidP="00CE0E14">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7</w:t>
      </w:r>
      <w:r w:rsidR="00624C76" w:rsidRPr="00B96EDC">
        <w:rPr>
          <w:rFonts w:ascii="Times New Roman" w:hAnsi="Times New Roman" w:cs="Times New Roman"/>
          <w:color w:val="auto"/>
          <w:sz w:val="24"/>
          <w:szCs w:val="24"/>
          <w:lang w:val="en-GB"/>
        </w:rPr>
        <w:t>.</w:t>
      </w:r>
      <w:r w:rsidR="00624C76" w:rsidRPr="00B96EDC">
        <w:rPr>
          <w:rFonts w:ascii="Times New Roman" w:hAnsi="Times New Roman" w:cs="Times New Roman"/>
          <w:color w:val="auto"/>
          <w:sz w:val="24"/>
          <w:szCs w:val="24"/>
          <w:lang w:val="en-GB"/>
        </w:rPr>
        <w:tab/>
      </w:r>
      <w:r w:rsidR="008F5E33" w:rsidRPr="00B96EDC">
        <w:rPr>
          <w:rFonts w:ascii="Times New Roman" w:hAnsi="Times New Roman" w:cs="Times New Roman"/>
          <w:color w:val="auto"/>
          <w:sz w:val="24"/>
          <w:szCs w:val="24"/>
          <w:lang w:val="en-GB"/>
        </w:rPr>
        <w:t xml:space="preserve">The lack of investments to healthcare is underlined by the lack of efficiency of the system of itself. </w:t>
      </w:r>
      <w:r w:rsidR="00624C76" w:rsidRPr="00B96EDC">
        <w:rPr>
          <w:rFonts w:ascii="Times New Roman" w:hAnsi="Times New Roman" w:cs="Times New Roman"/>
          <w:color w:val="auto"/>
          <w:sz w:val="24"/>
          <w:szCs w:val="24"/>
          <w:lang w:val="en-GB"/>
        </w:rPr>
        <w:t xml:space="preserve">According to the Ministry of Finance of the Slovak Republic and its Value for Money Division, </w:t>
      </w:r>
      <w:r w:rsidR="00CE0E14" w:rsidRPr="00B96EDC">
        <w:rPr>
          <w:rFonts w:ascii="Times New Roman" w:hAnsi="Times New Roman" w:cs="Times New Roman"/>
          <w:color w:val="auto"/>
          <w:sz w:val="24"/>
          <w:szCs w:val="24"/>
          <w:lang w:val="en-GB"/>
        </w:rPr>
        <w:t>the Slovak Republic</w:t>
      </w:r>
      <w:r w:rsidR="00624C76" w:rsidRPr="00B96EDC">
        <w:rPr>
          <w:rFonts w:ascii="Times New Roman" w:hAnsi="Times New Roman" w:cs="Times New Roman"/>
          <w:color w:val="auto"/>
          <w:sz w:val="24"/>
          <w:szCs w:val="24"/>
          <w:lang w:val="en-GB"/>
        </w:rPr>
        <w:t xml:space="preserve"> </w:t>
      </w:r>
      <w:r w:rsidR="00CE0E14" w:rsidRPr="00B96EDC">
        <w:rPr>
          <w:rFonts w:ascii="Times New Roman" w:hAnsi="Times New Roman" w:cs="Times New Roman"/>
          <w:color w:val="auto"/>
          <w:sz w:val="24"/>
          <w:szCs w:val="24"/>
          <w:lang w:val="en-GB"/>
        </w:rPr>
        <w:t>“</w:t>
      </w:r>
      <w:r w:rsidR="00624C76" w:rsidRPr="00B96EDC">
        <w:rPr>
          <w:rFonts w:ascii="Times New Roman" w:hAnsi="Times New Roman" w:cs="Times New Roman"/>
          <w:i/>
          <w:color w:val="auto"/>
          <w:sz w:val="24"/>
          <w:szCs w:val="24"/>
          <w:lang w:val="en-GB"/>
        </w:rPr>
        <w:t xml:space="preserve">dedicates a little less money to healthcare than the V3 countries per citizen, in terms of total health expenditure, adjusted by purchasing power. However, the country’s public expenditure is higher compared to them and its healthcare outcomes are worse. Overall, Slovak health expenditure is 4% lower than the average in V3 countries, but treatable mortality rate is higher by 16%. There are more deaths preventable by better healthcare in </w:t>
      </w:r>
      <w:r w:rsidR="00624C76" w:rsidRPr="00B96EDC">
        <w:rPr>
          <w:rFonts w:ascii="Times New Roman" w:hAnsi="Times New Roman" w:cs="Times New Roman"/>
          <w:i/>
          <w:color w:val="auto"/>
          <w:sz w:val="24"/>
          <w:szCs w:val="24"/>
          <w:lang w:val="en-GB"/>
        </w:rPr>
        <w:lastRenderedPageBreak/>
        <w:t>Slovakia than in Poland, Estonia and Greece (95 – 143 preventable deaths, the average being 122, thus 27% less than in Slovakia), even though the average expenditure in these countries is 5% lower</w:t>
      </w:r>
      <w:r w:rsidR="00CE0E14" w:rsidRPr="00B96EDC">
        <w:rPr>
          <w:rFonts w:ascii="Times New Roman" w:hAnsi="Times New Roman" w:cs="Times New Roman"/>
          <w:i/>
          <w:color w:val="auto"/>
          <w:sz w:val="24"/>
          <w:szCs w:val="24"/>
          <w:lang w:val="en-GB"/>
        </w:rPr>
        <w:t>.</w:t>
      </w:r>
      <w:r w:rsidR="00CE0E14" w:rsidRPr="00B96EDC">
        <w:rPr>
          <w:rFonts w:ascii="Times New Roman" w:hAnsi="Times New Roman" w:cs="Times New Roman"/>
          <w:color w:val="auto"/>
          <w:sz w:val="24"/>
          <w:szCs w:val="24"/>
          <w:lang w:val="en-GB"/>
        </w:rPr>
        <w:t>”</w:t>
      </w:r>
      <w:r w:rsidR="00CE0E14" w:rsidRPr="00B96EDC">
        <w:rPr>
          <w:rStyle w:val="Odkaznapoznmkupodiarou"/>
          <w:rFonts w:ascii="Times New Roman" w:hAnsi="Times New Roman" w:cs="Times New Roman"/>
          <w:color w:val="auto"/>
          <w:sz w:val="24"/>
          <w:szCs w:val="24"/>
          <w:lang w:val="en-GB"/>
        </w:rPr>
        <w:footnoteReference w:id="13"/>
      </w:r>
    </w:p>
    <w:p w14:paraId="6AA0B987" w14:textId="0FAE9794" w:rsidR="00FD580F" w:rsidRPr="00B96EDC" w:rsidRDefault="0094003C" w:rsidP="00CE0E14">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8</w:t>
      </w:r>
      <w:r w:rsidR="00CE0E14" w:rsidRPr="00B96EDC">
        <w:rPr>
          <w:rFonts w:ascii="Times New Roman" w:hAnsi="Times New Roman" w:cs="Times New Roman"/>
          <w:color w:val="auto"/>
          <w:sz w:val="24"/>
          <w:szCs w:val="24"/>
          <w:lang w:val="en-GB"/>
        </w:rPr>
        <w:t>.</w:t>
      </w:r>
      <w:r w:rsidR="008F5E33" w:rsidRPr="00B96EDC">
        <w:rPr>
          <w:rFonts w:ascii="Times New Roman" w:hAnsi="Times New Roman" w:cs="Times New Roman"/>
          <w:color w:val="auto"/>
          <w:sz w:val="24"/>
          <w:szCs w:val="24"/>
          <w:lang w:val="en-GB"/>
        </w:rPr>
        <w:tab/>
        <w:t xml:space="preserve">The </w:t>
      </w:r>
      <w:r w:rsidR="00FD580F" w:rsidRPr="00B96EDC">
        <w:rPr>
          <w:rFonts w:ascii="Times New Roman" w:hAnsi="Times New Roman" w:cs="Times New Roman"/>
          <w:color w:val="auto"/>
          <w:sz w:val="24"/>
          <w:szCs w:val="24"/>
          <w:lang w:val="en-GB"/>
        </w:rPr>
        <w:t>Slovak Republic has not adopted any complex and effective measures that would improve the worrisome situation concerning number of medical staff and its geographical distribution. According to the National Centre for Medical Information, there are 83 896 members of medical staff working in the Slovak Republic out of which, only 22 307 members of staff are medical doctors/physicians.</w:t>
      </w:r>
      <w:r w:rsidR="00FD580F" w:rsidRPr="00B96EDC">
        <w:rPr>
          <w:rStyle w:val="Odkaznapoznmkupodiarou"/>
          <w:rFonts w:ascii="Times New Roman" w:hAnsi="Times New Roman" w:cs="Times New Roman"/>
          <w:color w:val="auto"/>
          <w:sz w:val="24"/>
          <w:szCs w:val="24"/>
          <w:lang w:val="en-GB"/>
        </w:rPr>
        <w:footnoteReference w:id="14"/>
      </w:r>
      <w:r w:rsidR="00FD580F" w:rsidRPr="00B96EDC">
        <w:rPr>
          <w:rFonts w:ascii="Times New Roman" w:hAnsi="Times New Roman" w:cs="Times New Roman"/>
          <w:color w:val="auto"/>
          <w:sz w:val="24"/>
          <w:szCs w:val="24"/>
          <w:lang w:val="en-GB"/>
        </w:rPr>
        <w:t xml:space="preserve"> Despite the fact that the average number of medical doctors/physicians in the Slovak Republic (3,4 physicians per 1000 inhabitants) is approaching the EU average (3,6 physicians per 1000 inhabitants)</w:t>
      </w:r>
      <w:r w:rsidR="00FD580F" w:rsidRPr="00B96EDC">
        <w:rPr>
          <w:rStyle w:val="Odkaznapoznmkupodiarou"/>
          <w:rFonts w:ascii="Times New Roman" w:hAnsi="Times New Roman" w:cs="Times New Roman"/>
          <w:color w:val="auto"/>
          <w:sz w:val="24"/>
          <w:szCs w:val="24"/>
          <w:lang w:val="en-GB"/>
        </w:rPr>
        <w:footnoteReference w:id="15"/>
      </w:r>
      <w:r w:rsidR="00FD580F" w:rsidRPr="00B96EDC">
        <w:rPr>
          <w:rFonts w:ascii="Times New Roman" w:hAnsi="Times New Roman" w:cs="Times New Roman"/>
          <w:color w:val="auto"/>
          <w:sz w:val="24"/>
          <w:szCs w:val="24"/>
          <w:lang w:val="en-GB"/>
        </w:rPr>
        <w:t>, the average number of nurses in the Slovak Republic (3,4 nurses per 1000 inhabitants) has been long-term bellow the EU average (8 nurses per 1000 inhabitants.</w:t>
      </w:r>
      <w:r w:rsidR="00FD580F" w:rsidRPr="00B96EDC">
        <w:rPr>
          <w:rStyle w:val="Odkaznapoznmkupodiarou"/>
          <w:rFonts w:ascii="Times New Roman" w:hAnsi="Times New Roman" w:cs="Times New Roman"/>
          <w:color w:val="auto"/>
          <w:sz w:val="24"/>
          <w:szCs w:val="24"/>
          <w:lang w:val="en-GB"/>
        </w:rPr>
        <w:footnoteReference w:id="16"/>
      </w:r>
      <w:r w:rsidR="00E73BCF" w:rsidRPr="00B96EDC">
        <w:rPr>
          <w:rFonts w:ascii="Times New Roman" w:hAnsi="Times New Roman" w:cs="Times New Roman"/>
          <w:color w:val="auto"/>
          <w:sz w:val="24"/>
          <w:szCs w:val="24"/>
          <w:lang w:val="en-GB"/>
        </w:rPr>
        <w:t xml:space="preserve"> The geographical distribution of the medical staff is uneven. </w:t>
      </w:r>
      <w:r w:rsidR="0084546E" w:rsidRPr="00B96EDC">
        <w:rPr>
          <w:rFonts w:ascii="Times New Roman" w:hAnsi="Times New Roman" w:cs="Times New Roman"/>
          <w:color w:val="auto"/>
          <w:sz w:val="24"/>
          <w:szCs w:val="24"/>
          <w:lang w:val="en-GB"/>
        </w:rPr>
        <w:t>While the density of physicians is very high in the capital region, it is much lower in most other regions.</w:t>
      </w:r>
      <w:r w:rsidR="0084546E" w:rsidRPr="00B96EDC">
        <w:rPr>
          <w:rStyle w:val="Odkaznapoznmkupodiarou"/>
          <w:rFonts w:ascii="Times New Roman" w:hAnsi="Times New Roman" w:cs="Times New Roman"/>
          <w:color w:val="auto"/>
          <w:sz w:val="24"/>
          <w:szCs w:val="24"/>
          <w:lang w:val="en-GB"/>
        </w:rPr>
        <w:footnoteReference w:id="17"/>
      </w:r>
      <w:r w:rsidR="0084546E" w:rsidRPr="00B96EDC">
        <w:rPr>
          <w:rFonts w:ascii="Times New Roman" w:hAnsi="Times New Roman" w:cs="Times New Roman"/>
          <w:color w:val="auto"/>
          <w:sz w:val="24"/>
          <w:szCs w:val="24"/>
          <w:lang w:val="en-GB"/>
        </w:rPr>
        <w:t xml:space="preserve"> In comparison with Bratislava region (6,5 physicians per 1000 inhabitants), in regions of Trnava, Banská Bystrica, Nitra or P</w:t>
      </w:r>
      <w:r w:rsidR="009B0892" w:rsidRPr="00B96EDC">
        <w:rPr>
          <w:rFonts w:ascii="Times New Roman" w:hAnsi="Times New Roman" w:cs="Times New Roman"/>
          <w:color w:val="auto"/>
          <w:sz w:val="24"/>
          <w:szCs w:val="24"/>
          <w:lang w:val="en-GB"/>
        </w:rPr>
        <w:t>reš</w:t>
      </w:r>
      <w:r w:rsidR="0084546E" w:rsidRPr="00B96EDC">
        <w:rPr>
          <w:rFonts w:ascii="Times New Roman" w:hAnsi="Times New Roman" w:cs="Times New Roman"/>
          <w:color w:val="auto"/>
          <w:sz w:val="24"/>
          <w:szCs w:val="24"/>
          <w:lang w:val="en-GB"/>
        </w:rPr>
        <w:t>ov, the number of physicians per 1000 inhabitants is lower than 3.</w:t>
      </w:r>
      <w:r w:rsidR="0084546E" w:rsidRPr="00B96EDC">
        <w:rPr>
          <w:rStyle w:val="Odkaznapoznmkupodiarou"/>
          <w:rFonts w:ascii="Times New Roman" w:hAnsi="Times New Roman" w:cs="Times New Roman"/>
          <w:color w:val="auto"/>
          <w:sz w:val="24"/>
          <w:szCs w:val="24"/>
          <w:lang w:val="en-GB"/>
        </w:rPr>
        <w:footnoteReference w:id="18"/>
      </w:r>
      <w:r w:rsidR="0084546E" w:rsidRPr="00B96EDC">
        <w:rPr>
          <w:rFonts w:ascii="Times New Roman" w:hAnsi="Times New Roman" w:cs="Times New Roman"/>
          <w:color w:val="auto"/>
          <w:sz w:val="24"/>
          <w:szCs w:val="24"/>
          <w:lang w:val="en-GB"/>
        </w:rPr>
        <w:t xml:space="preserve"> Moreover, more than 45% of physicians is older than 50 years of age.</w:t>
      </w:r>
      <w:r w:rsidR="0084546E" w:rsidRPr="00B96EDC">
        <w:rPr>
          <w:rStyle w:val="Odkaznapoznmkupodiarou"/>
          <w:rFonts w:ascii="Times New Roman" w:hAnsi="Times New Roman" w:cs="Times New Roman"/>
          <w:color w:val="auto"/>
          <w:sz w:val="24"/>
          <w:szCs w:val="24"/>
          <w:lang w:val="en-GB"/>
        </w:rPr>
        <w:footnoteReference w:id="19"/>
      </w:r>
    </w:p>
    <w:p w14:paraId="0C7A933C" w14:textId="73D660E4" w:rsidR="009B0892" w:rsidRPr="00B96EDC" w:rsidRDefault="0084546E" w:rsidP="00CE0E14">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9.</w:t>
      </w:r>
      <w:r w:rsidRPr="00B96EDC">
        <w:rPr>
          <w:rFonts w:ascii="Times New Roman" w:hAnsi="Times New Roman" w:cs="Times New Roman"/>
          <w:color w:val="auto"/>
          <w:sz w:val="24"/>
          <w:szCs w:val="24"/>
          <w:lang w:val="en-GB"/>
        </w:rPr>
        <w:tab/>
        <w:t xml:space="preserve">The Centre believes that to improve the current situation in healthcare, especially concerning health life expectancy and number of preventable and treatable deaths, the Slovak Republic should adopt complex and systematic measures, not only aiming at </w:t>
      </w:r>
      <w:r w:rsidR="009B0892" w:rsidRPr="00B96EDC">
        <w:rPr>
          <w:rFonts w:ascii="Times New Roman" w:hAnsi="Times New Roman" w:cs="Times New Roman"/>
          <w:color w:val="auto"/>
          <w:sz w:val="24"/>
          <w:szCs w:val="24"/>
          <w:lang w:val="en-GB"/>
        </w:rPr>
        <w:t xml:space="preserve">progressively </w:t>
      </w:r>
      <w:r w:rsidRPr="00B96EDC">
        <w:rPr>
          <w:rFonts w:ascii="Times New Roman" w:hAnsi="Times New Roman" w:cs="Times New Roman"/>
          <w:color w:val="auto"/>
          <w:sz w:val="24"/>
          <w:szCs w:val="24"/>
          <w:lang w:val="en-GB"/>
        </w:rPr>
        <w:t>increasing the amount of financial means invested to the healthcare system, but also en</w:t>
      </w:r>
      <w:r w:rsidR="009B0892" w:rsidRPr="00B96EDC">
        <w:rPr>
          <w:rFonts w:ascii="Times New Roman" w:hAnsi="Times New Roman" w:cs="Times New Roman"/>
          <w:color w:val="auto"/>
          <w:sz w:val="24"/>
          <w:szCs w:val="24"/>
          <w:lang w:val="en-GB"/>
        </w:rPr>
        <w:t xml:space="preserve">sure that these financial means </w:t>
      </w:r>
      <w:r w:rsidR="004C2841" w:rsidRPr="00B96EDC">
        <w:rPr>
          <w:rFonts w:ascii="Times New Roman" w:hAnsi="Times New Roman" w:cs="Times New Roman"/>
          <w:color w:val="auto"/>
          <w:sz w:val="24"/>
          <w:szCs w:val="24"/>
          <w:lang w:val="en-GB"/>
        </w:rPr>
        <w:t>are invested efficiently and contributing to improvement of</w:t>
      </w:r>
      <w:r w:rsidR="009B0892" w:rsidRPr="00B96EDC">
        <w:rPr>
          <w:rFonts w:ascii="Times New Roman" w:hAnsi="Times New Roman" w:cs="Times New Roman"/>
          <w:color w:val="auto"/>
          <w:sz w:val="24"/>
          <w:szCs w:val="24"/>
          <w:lang w:val="en-GB"/>
        </w:rPr>
        <w:t xml:space="preserve"> the overall accessibility, availability, acceptability and affordability of all levels of healthcare (primary, secondary and tertiary) </w:t>
      </w:r>
      <w:r w:rsidR="004C2841" w:rsidRPr="00B96EDC">
        <w:rPr>
          <w:rFonts w:ascii="Times New Roman" w:hAnsi="Times New Roman" w:cs="Times New Roman"/>
          <w:color w:val="auto"/>
          <w:sz w:val="24"/>
          <w:szCs w:val="24"/>
          <w:lang w:val="en-GB"/>
        </w:rPr>
        <w:t xml:space="preserve"> as well as all kinds of healthcare (preventive, curative and rehabilitative) </w:t>
      </w:r>
      <w:r w:rsidR="009B0892" w:rsidRPr="00B96EDC">
        <w:rPr>
          <w:rFonts w:ascii="Times New Roman" w:hAnsi="Times New Roman" w:cs="Times New Roman"/>
          <w:color w:val="auto"/>
          <w:sz w:val="24"/>
          <w:szCs w:val="24"/>
          <w:lang w:val="en-GB"/>
        </w:rPr>
        <w:t xml:space="preserve">to all inhabitants, including the members of vulnerable groups, such as Roma, women, persons with disabilities, members of LGBTIQ+ communities or migrants. </w:t>
      </w:r>
    </w:p>
    <w:p w14:paraId="40F7F3F0" w14:textId="0617A791" w:rsidR="00555720" w:rsidRPr="00B96EDC" w:rsidRDefault="009B0892" w:rsidP="00CE0E14">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10.</w:t>
      </w:r>
      <w:r w:rsidRPr="00B96EDC">
        <w:rPr>
          <w:rFonts w:ascii="Times New Roman" w:hAnsi="Times New Roman" w:cs="Times New Roman"/>
          <w:color w:val="auto"/>
          <w:sz w:val="24"/>
          <w:szCs w:val="24"/>
          <w:lang w:val="en-GB"/>
        </w:rPr>
        <w:tab/>
      </w:r>
      <w:r w:rsidR="004C2841" w:rsidRPr="00B96EDC">
        <w:rPr>
          <w:rFonts w:ascii="Times New Roman" w:hAnsi="Times New Roman" w:cs="Times New Roman"/>
          <w:color w:val="auto"/>
          <w:sz w:val="24"/>
          <w:szCs w:val="24"/>
          <w:lang w:val="en-GB"/>
        </w:rPr>
        <w:t>The Centre further believes that the Slovak Republic should pay more attention to preventive healthcare as well as to health education. Not only that the preventive programmes and policies focusing on the most prevalent diseases/conditions are not sufficient, the overall awareness of inhabitants ab</w:t>
      </w:r>
      <w:r w:rsidR="000A62D6" w:rsidRPr="00B96EDC">
        <w:rPr>
          <w:rFonts w:ascii="Times New Roman" w:hAnsi="Times New Roman" w:cs="Times New Roman"/>
          <w:color w:val="auto"/>
          <w:sz w:val="24"/>
          <w:szCs w:val="24"/>
          <w:lang w:val="en-GB"/>
        </w:rPr>
        <w:t xml:space="preserve">out their entitlements, </w:t>
      </w:r>
      <w:r w:rsidR="004C2841" w:rsidRPr="00B96EDC">
        <w:rPr>
          <w:rFonts w:ascii="Times New Roman" w:hAnsi="Times New Roman" w:cs="Times New Roman"/>
          <w:color w:val="auto"/>
          <w:sz w:val="24"/>
          <w:szCs w:val="24"/>
          <w:lang w:val="en-GB"/>
        </w:rPr>
        <w:t xml:space="preserve">costs and </w:t>
      </w:r>
      <w:r w:rsidR="000A62D6" w:rsidRPr="00B96EDC">
        <w:rPr>
          <w:rFonts w:ascii="Times New Roman" w:hAnsi="Times New Roman" w:cs="Times New Roman"/>
          <w:color w:val="auto"/>
          <w:sz w:val="24"/>
          <w:szCs w:val="24"/>
          <w:lang w:val="en-GB"/>
        </w:rPr>
        <w:t xml:space="preserve">conditions for participating in the </w:t>
      </w:r>
      <w:r w:rsidR="000A62D6" w:rsidRPr="00B96EDC">
        <w:rPr>
          <w:rFonts w:ascii="Times New Roman" w:hAnsi="Times New Roman" w:cs="Times New Roman"/>
          <w:color w:val="auto"/>
          <w:sz w:val="24"/>
          <w:szCs w:val="24"/>
          <w:lang w:val="en-GB"/>
        </w:rPr>
        <w:lastRenderedPageBreak/>
        <w:t xml:space="preserve">preventive programmes is low. The main policy concerning healthcare is the Strategy for Health for the Years 2014 – 2030 (Health Strategy 2030). </w:t>
      </w:r>
      <w:r w:rsidR="00555720" w:rsidRPr="00B96EDC">
        <w:rPr>
          <w:rFonts w:ascii="Times New Roman" w:hAnsi="Times New Roman" w:cs="Times New Roman"/>
          <w:color w:val="auto"/>
          <w:sz w:val="24"/>
          <w:szCs w:val="24"/>
          <w:lang w:val="en-GB"/>
        </w:rPr>
        <w:t xml:space="preserve">Other policies concerning health include National Action Plan for Prevention of Obesity for the Years 2015 – 2025 and National Action Plan for Issues Concerning Alcohol for the Years 2013 – 2020. </w:t>
      </w:r>
      <w:r w:rsidR="001A00DA" w:rsidRPr="00B96EDC">
        <w:rPr>
          <w:rFonts w:ascii="Times New Roman" w:hAnsi="Times New Roman" w:cs="Times New Roman"/>
          <w:color w:val="auto"/>
          <w:sz w:val="24"/>
          <w:szCs w:val="24"/>
          <w:lang w:val="en-GB"/>
        </w:rPr>
        <w:t>Some policies have not been prolonged or renewed after the implementation period has passed, e. g. National Action Plan for Control of Tobacco. Some of the policies are outdated and rarely implemented, e. g National Programme for Mental Health and National Programme of Health Support. For instance, on 4</w:t>
      </w:r>
      <w:r w:rsidR="001A00DA" w:rsidRPr="00B96EDC">
        <w:rPr>
          <w:rFonts w:ascii="Times New Roman" w:hAnsi="Times New Roman" w:cs="Times New Roman"/>
          <w:color w:val="auto"/>
          <w:sz w:val="24"/>
          <w:szCs w:val="24"/>
          <w:vertAlign w:val="superscript"/>
          <w:lang w:val="en-GB"/>
        </w:rPr>
        <w:t>th</w:t>
      </w:r>
      <w:r w:rsidR="001A00DA" w:rsidRPr="00B96EDC">
        <w:rPr>
          <w:rFonts w:ascii="Times New Roman" w:hAnsi="Times New Roman" w:cs="Times New Roman"/>
          <w:color w:val="auto"/>
          <w:sz w:val="24"/>
          <w:szCs w:val="24"/>
          <w:lang w:val="en-GB"/>
        </w:rPr>
        <w:t xml:space="preserve"> September 2019, the Ministry of Health of the Slovak Republic </w:t>
      </w:r>
      <w:r w:rsidR="00B42DCC" w:rsidRPr="00B96EDC">
        <w:rPr>
          <w:rFonts w:ascii="Times New Roman" w:hAnsi="Times New Roman" w:cs="Times New Roman"/>
          <w:color w:val="auto"/>
          <w:sz w:val="24"/>
          <w:szCs w:val="24"/>
          <w:lang w:val="en-GB"/>
        </w:rPr>
        <w:t>proposed to terminate implementation of</w:t>
      </w:r>
      <w:r w:rsidR="001A00DA" w:rsidRPr="00B96EDC">
        <w:rPr>
          <w:rFonts w:ascii="Times New Roman" w:hAnsi="Times New Roman" w:cs="Times New Roman"/>
          <w:color w:val="auto"/>
          <w:sz w:val="24"/>
          <w:szCs w:val="24"/>
          <w:lang w:val="en-GB"/>
        </w:rPr>
        <w:t xml:space="preserve"> several measures from the National Program for Mental Health. As a justification, the Ministry of Health of the Slovak Republic stated “</w:t>
      </w:r>
      <w:r w:rsidR="00B42DCC" w:rsidRPr="00B96EDC">
        <w:rPr>
          <w:rFonts w:ascii="Times New Roman" w:hAnsi="Times New Roman" w:cs="Times New Roman"/>
          <w:i/>
          <w:color w:val="auto"/>
          <w:sz w:val="24"/>
          <w:szCs w:val="24"/>
          <w:lang w:val="en-GB"/>
        </w:rPr>
        <w:t>during its 16' years existence, the implementation of measures of the National Program for Mental Health by respective ministries has not led during to changes in the field of mental health and currently does not reflect the contemporary needs in the field of provision of mental healthcare</w:t>
      </w:r>
      <w:r w:rsidR="00B42DCC" w:rsidRPr="00B96EDC">
        <w:rPr>
          <w:rFonts w:ascii="Times New Roman" w:hAnsi="Times New Roman" w:cs="Times New Roman"/>
          <w:color w:val="auto"/>
          <w:sz w:val="24"/>
          <w:szCs w:val="24"/>
          <w:lang w:val="en-GB"/>
        </w:rPr>
        <w:t>.”</w:t>
      </w:r>
      <w:r w:rsidR="00B42DCC" w:rsidRPr="00B96EDC">
        <w:rPr>
          <w:rStyle w:val="Odkaznapoznmkupodiarou"/>
          <w:rFonts w:ascii="Times New Roman" w:hAnsi="Times New Roman" w:cs="Times New Roman"/>
          <w:color w:val="auto"/>
          <w:sz w:val="24"/>
          <w:szCs w:val="24"/>
          <w:lang w:val="en-GB"/>
        </w:rPr>
        <w:footnoteReference w:id="20"/>
      </w:r>
      <w:r w:rsidR="00B42DCC" w:rsidRPr="00B96EDC">
        <w:rPr>
          <w:rFonts w:ascii="Times New Roman" w:hAnsi="Times New Roman" w:cs="Times New Roman"/>
          <w:color w:val="auto"/>
          <w:sz w:val="24"/>
          <w:szCs w:val="24"/>
          <w:lang w:val="en-GB"/>
        </w:rPr>
        <w:t xml:space="preserve"> The most recent policies touching on provision of healthcare are the National Investment Plan of Slovakia for the Years 2018 – 2030 (adaption of the Agenda 2030 for Sustainable Development) and the Recovery Plan. While the National Investment Plan of Slovakia for the Years 2018 – 2030 reflects on the Health Strategy 2030, the Recovery Plan introduces two major reforms – Modern and accessible healthcare (1163 mil. EUR) and Mental Health Reform (105 mil. EUR)</w:t>
      </w:r>
      <w:r w:rsidR="00947EA2" w:rsidRPr="00B96EDC">
        <w:rPr>
          <w:rFonts w:ascii="Times New Roman" w:hAnsi="Times New Roman" w:cs="Times New Roman"/>
          <w:color w:val="auto"/>
          <w:sz w:val="24"/>
          <w:szCs w:val="24"/>
          <w:lang w:val="en-GB"/>
        </w:rPr>
        <w:t>. The Recovery Plan proposes for the healthcare to be second highest investment after green economy, followed by education and science.</w:t>
      </w:r>
      <w:r w:rsidR="00947EA2" w:rsidRPr="00B96EDC">
        <w:rPr>
          <w:rStyle w:val="Odkaznapoznmkupodiarou"/>
          <w:rFonts w:ascii="Times New Roman" w:hAnsi="Times New Roman" w:cs="Times New Roman"/>
          <w:color w:val="auto"/>
          <w:sz w:val="24"/>
          <w:szCs w:val="24"/>
          <w:lang w:val="en-GB"/>
        </w:rPr>
        <w:footnoteReference w:id="21"/>
      </w:r>
    </w:p>
    <w:p w14:paraId="72F8FFA2" w14:textId="3EDCB3EB" w:rsidR="00B42DCC" w:rsidRPr="00B96EDC" w:rsidRDefault="00B42DCC" w:rsidP="00CE0E14">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11.</w:t>
      </w:r>
      <w:r w:rsidRPr="00B96EDC">
        <w:rPr>
          <w:rFonts w:ascii="Times New Roman" w:hAnsi="Times New Roman" w:cs="Times New Roman"/>
          <w:color w:val="auto"/>
          <w:sz w:val="24"/>
          <w:szCs w:val="24"/>
          <w:lang w:val="en-GB"/>
        </w:rPr>
        <w:tab/>
        <w:t xml:space="preserve"> </w:t>
      </w:r>
      <w:r w:rsidR="00947EA2" w:rsidRPr="00B96EDC">
        <w:rPr>
          <w:rFonts w:ascii="Times New Roman" w:hAnsi="Times New Roman" w:cs="Times New Roman"/>
          <w:color w:val="auto"/>
          <w:sz w:val="24"/>
          <w:szCs w:val="24"/>
          <w:lang w:val="en-GB"/>
        </w:rPr>
        <w:t xml:space="preserve">The Centre concludes that while there is various national policies and programmes being implemented in the field of healthcare, there are no complex and systematic policies that would </w:t>
      </w:r>
      <w:r w:rsidR="005F7050" w:rsidRPr="00B96EDC">
        <w:rPr>
          <w:rFonts w:ascii="Times New Roman" w:hAnsi="Times New Roman" w:cs="Times New Roman"/>
          <w:color w:val="auto"/>
          <w:sz w:val="24"/>
          <w:szCs w:val="24"/>
          <w:lang w:val="en-GB"/>
        </w:rPr>
        <w:t xml:space="preserve">be </w:t>
      </w:r>
      <w:r w:rsidR="00947EA2" w:rsidRPr="00B96EDC">
        <w:rPr>
          <w:rFonts w:ascii="Times New Roman" w:hAnsi="Times New Roman" w:cs="Times New Roman"/>
          <w:color w:val="auto"/>
          <w:sz w:val="24"/>
          <w:szCs w:val="24"/>
          <w:lang w:val="en-GB"/>
        </w:rPr>
        <w:t xml:space="preserve">heavily focused on prevention and </w:t>
      </w:r>
      <w:r w:rsidR="00195D29" w:rsidRPr="00B96EDC">
        <w:rPr>
          <w:rFonts w:ascii="Times New Roman" w:hAnsi="Times New Roman" w:cs="Times New Roman"/>
          <w:color w:val="auto"/>
          <w:sz w:val="24"/>
          <w:szCs w:val="24"/>
          <w:lang w:val="en-GB"/>
        </w:rPr>
        <w:t xml:space="preserve">that </w:t>
      </w:r>
      <w:r w:rsidR="00947EA2" w:rsidRPr="00B96EDC">
        <w:rPr>
          <w:rFonts w:ascii="Times New Roman" w:hAnsi="Times New Roman" w:cs="Times New Roman"/>
          <w:color w:val="auto"/>
          <w:sz w:val="24"/>
          <w:szCs w:val="24"/>
          <w:lang w:val="en-GB"/>
        </w:rPr>
        <w:t>would target the main causes of premature and treatable deaths in the Slovak R</w:t>
      </w:r>
      <w:r w:rsidR="005F7050" w:rsidRPr="00B96EDC">
        <w:rPr>
          <w:rFonts w:ascii="Times New Roman" w:hAnsi="Times New Roman" w:cs="Times New Roman"/>
          <w:color w:val="auto"/>
          <w:sz w:val="24"/>
          <w:szCs w:val="24"/>
          <w:lang w:val="en-GB"/>
        </w:rPr>
        <w:t xml:space="preserve">epublic. </w:t>
      </w:r>
      <w:r w:rsidR="00195D29" w:rsidRPr="00B96EDC">
        <w:rPr>
          <w:rFonts w:ascii="Times New Roman" w:hAnsi="Times New Roman" w:cs="Times New Roman"/>
          <w:color w:val="auto"/>
          <w:sz w:val="24"/>
          <w:szCs w:val="24"/>
          <w:lang w:val="en-GB"/>
        </w:rPr>
        <w:t>There</w:t>
      </w:r>
      <w:r w:rsidR="005F7050" w:rsidRPr="00B96EDC">
        <w:rPr>
          <w:rFonts w:ascii="Times New Roman" w:hAnsi="Times New Roman" w:cs="Times New Roman"/>
          <w:color w:val="auto"/>
          <w:sz w:val="24"/>
          <w:szCs w:val="24"/>
          <w:lang w:val="en-GB"/>
        </w:rPr>
        <w:t xml:space="preserve"> is the National Oncology P</w:t>
      </w:r>
      <w:r w:rsidR="00195D29" w:rsidRPr="00B96EDC">
        <w:rPr>
          <w:rFonts w:ascii="Times New Roman" w:hAnsi="Times New Roman" w:cs="Times New Roman"/>
          <w:color w:val="auto"/>
          <w:sz w:val="24"/>
          <w:szCs w:val="24"/>
          <w:lang w:val="en-GB"/>
        </w:rPr>
        <w:t>rogramme, h</w:t>
      </w:r>
      <w:r w:rsidR="005F7050" w:rsidRPr="00B96EDC">
        <w:rPr>
          <w:rFonts w:ascii="Times New Roman" w:hAnsi="Times New Roman" w:cs="Times New Roman"/>
          <w:color w:val="auto"/>
          <w:sz w:val="24"/>
          <w:szCs w:val="24"/>
          <w:lang w:val="en-GB"/>
        </w:rPr>
        <w:t xml:space="preserve">owever, the most important preventive measures – screening programmes are not sufficient. There </w:t>
      </w:r>
      <w:r w:rsidR="004A6047" w:rsidRPr="00B96EDC">
        <w:rPr>
          <w:rFonts w:ascii="Times New Roman" w:hAnsi="Times New Roman" w:cs="Times New Roman"/>
          <w:color w:val="auto"/>
          <w:sz w:val="24"/>
          <w:szCs w:val="24"/>
          <w:lang w:val="en-GB"/>
        </w:rPr>
        <w:t>are currently three screening programmes</w:t>
      </w:r>
      <w:r w:rsidR="00195D29" w:rsidRPr="00B96EDC">
        <w:rPr>
          <w:rFonts w:ascii="Times New Roman" w:hAnsi="Times New Roman" w:cs="Times New Roman"/>
          <w:color w:val="auto"/>
          <w:sz w:val="24"/>
          <w:szCs w:val="24"/>
          <w:lang w:val="en-GB"/>
        </w:rPr>
        <w:t>:</w:t>
      </w:r>
      <w:r w:rsidR="004A6047" w:rsidRPr="00B96EDC">
        <w:rPr>
          <w:rFonts w:ascii="Times New Roman" w:hAnsi="Times New Roman" w:cs="Times New Roman"/>
          <w:color w:val="auto"/>
          <w:sz w:val="24"/>
          <w:szCs w:val="24"/>
          <w:lang w:val="en-GB"/>
        </w:rPr>
        <w:t xml:space="preserve"> for breast cancer, colorectal cancer and cervical cancer. Only two programmes – breast cancer screening programme and colorectal cancer screening programmes were launched in 2019. However, start of both programmes were to a large extent impacted by the COVID-19 pandemic in 2020. The cervical cancer screening programme has not been launched yet. If it comes to cardiovascular diseases and conditions</w:t>
      </w:r>
      <w:r w:rsidR="005F7050" w:rsidRPr="00B96EDC">
        <w:rPr>
          <w:rFonts w:ascii="Times New Roman" w:hAnsi="Times New Roman" w:cs="Times New Roman"/>
          <w:color w:val="auto"/>
          <w:sz w:val="24"/>
          <w:szCs w:val="24"/>
          <w:lang w:val="en-GB"/>
        </w:rPr>
        <w:t xml:space="preserve">, there is no national programme that would focus on </w:t>
      </w:r>
      <w:r w:rsidR="004A6047" w:rsidRPr="00B96EDC">
        <w:rPr>
          <w:rFonts w:ascii="Times New Roman" w:hAnsi="Times New Roman" w:cs="Times New Roman"/>
          <w:color w:val="auto"/>
          <w:sz w:val="24"/>
          <w:szCs w:val="24"/>
          <w:lang w:val="en-GB"/>
        </w:rPr>
        <w:t>such diseases and conditions, which</w:t>
      </w:r>
      <w:r w:rsidR="005F7050" w:rsidRPr="00B96EDC">
        <w:rPr>
          <w:rFonts w:ascii="Times New Roman" w:hAnsi="Times New Roman" w:cs="Times New Roman"/>
          <w:color w:val="auto"/>
          <w:sz w:val="24"/>
          <w:szCs w:val="24"/>
          <w:lang w:val="en-GB"/>
        </w:rPr>
        <w:t xml:space="preserve"> are one of the most common diagnosis causing premature deaths in the Slovak Republic. </w:t>
      </w:r>
      <w:r w:rsidR="00195D29" w:rsidRPr="00B96EDC">
        <w:rPr>
          <w:rFonts w:ascii="Times New Roman" w:hAnsi="Times New Roman" w:cs="Times New Roman"/>
          <w:color w:val="auto"/>
          <w:sz w:val="24"/>
          <w:szCs w:val="24"/>
          <w:lang w:val="en-GB"/>
        </w:rPr>
        <w:t>Some preventing measures targeting also cardiovascular diseases are implemented by the Public Health Authority of the Slovak R</w:t>
      </w:r>
      <w:r w:rsidR="009A1AB0" w:rsidRPr="00B96EDC">
        <w:rPr>
          <w:rFonts w:ascii="Times New Roman" w:hAnsi="Times New Roman" w:cs="Times New Roman"/>
          <w:color w:val="auto"/>
          <w:sz w:val="24"/>
          <w:szCs w:val="24"/>
          <w:lang w:val="en-GB"/>
        </w:rPr>
        <w:t xml:space="preserve">epublic, especially through the system of counselling services. However, these are not well known and are visited by less clients each year. For example, in 2010, the counselling services were utilised by 14 429 </w:t>
      </w:r>
      <w:r w:rsidR="009A1AB0" w:rsidRPr="00B96EDC">
        <w:rPr>
          <w:rFonts w:ascii="Times New Roman" w:hAnsi="Times New Roman" w:cs="Times New Roman"/>
          <w:color w:val="auto"/>
          <w:sz w:val="24"/>
          <w:szCs w:val="24"/>
          <w:lang w:val="en-GB"/>
        </w:rPr>
        <w:lastRenderedPageBreak/>
        <w:t>inhabitants (9278 women and 5151 men) and in 2019, the counselling services were utilised only by 5388 inhabitants (3720 women and 1668 men).</w:t>
      </w:r>
      <w:r w:rsidR="009A1AB0" w:rsidRPr="00B96EDC">
        <w:rPr>
          <w:rStyle w:val="Odkaznapoznmkupodiarou"/>
          <w:rFonts w:ascii="Times New Roman" w:hAnsi="Times New Roman" w:cs="Times New Roman"/>
          <w:color w:val="auto"/>
          <w:sz w:val="24"/>
          <w:szCs w:val="24"/>
          <w:lang w:val="en-GB"/>
        </w:rPr>
        <w:footnoteReference w:id="22"/>
      </w:r>
    </w:p>
    <w:p w14:paraId="04D927F6" w14:textId="1E43419E" w:rsidR="009A0646" w:rsidRPr="00B96EDC" w:rsidRDefault="005F5C47" w:rsidP="00CE0E14">
      <w:pPr>
        <w:widowControl w:val="0"/>
        <w:spacing w:after="120"/>
        <w:ind w:right="0"/>
        <w:jc w:val="both"/>
        <w:rPr>
          <w:rFonts w:ascii="Times New Roman" w:hAnsi="Times New Roman" w:cs="Times New Roman"/>
          <w:b/>
          <w:i/>
          <w:color w:val="auto"/>
          <w:sz w:val="24"/>
          <w:szCs w:val="24"/>
          <w:lang w:val="en-GB"/>
        </w:rPr>
      </w:pPr>
      <w:r w:rsidRPr="00B96EDC">
        <w:rPr>
          <w:rFonts w:ascii="Times New Roman" w:hAnsi="Times New Roman" w:cs="Times New Roman"/>
          <w:b/>
          <w:i/>
          <w:color w:val="auto"/>
          <w:sz w:val="24"/>
          <w:szCs w:val="24"/>
          <w:lang w:val="en-GB"/>
        </w:rPr>
        <w:t xml:space="preserve"> </w:t>
      </w:r>
    </w:p>
    <w:p w14:paraId="76433CCC" w14:textId="38EEDA4D" w:rsidR="00E4511B" w:rsidRPr="00B96EDC" w:rsidRDefault="00422703" w:rsidP="00874F8E">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B)</w:t>
      </w:r>
      <w:r w:rsidRPr="00B96EDC">
        <w:rPr>
          <w:rFonts w:ascii="Times New Roman" w:hAnsi="Times New Roman" w:cs="Times New Roman"/>
          <w:b/>
          <w:color w:val="auto"/>
          <w:sz w:val="24"/>
          <w:szCs w:val="24"/>
          <w:lang w:val="en-GB"/>
        </w:rPr>
        <w:tab/>
        <w:t>SEXUAL AND REPRODUCTIVE HEALTH-CARE SERVICES.</w:t>
      </w:r>
    </w:p>
    <w:p w14:paraId="73CEE519" w14:textId="58A5E692" w:rsidR="00B01561" w:rsidRPr="00B96EDC" w:rsidRDefault="0024240B" w:rsidP="00874F8E">
      <w:pPr>
        <w:spacing w:after="120"/>
        <w:jc w:val="both"/>
        <w:rPr>
          <w:rFonts w:ascii="Times New Roman" w:hAnsi="Times New Roman" w:cs="Times New Roman"/>
          <w:b/>
          <w:i/>
          <w:color w:val="auto"/>
          <w:sz w:val="24"/>
          <w:szCs w:val="24"/>
          <w:lang w:val="en-GB"/>
        </w:rPr>
      </w:pPr>
      <w:r w:rsidRPr="00B96EDC">
        <w:rPr>
          <w:rFonts w:ascii="Times New Roman" w:hAnsi="Times New Roman" w:cs="Times New Roman"/>
          <w:b/>
          <w:i/>
          <w:color w:val="auto"/>
          <w:sz w:val="24"/>
          <w:szCs w:val="24"/>
          <w:lang w:val="en-GB"/>
        </w:rPr>
        <w:t>M</w:t>
      </w:r>
      <w:r w:rsidR="00D54D65" w:rsidRPr="00B96EDC">
        <w:rPr>
          <w:rFonts w:ascii="Times New Roman" w:hAnsi="Times New Roman" w:cs="Times New Roman"/>
          <w:b/>
          <w:i/>
          <w:color w:val="auto"/>
          <w:sz w:val="24"/>
          <w:szCs w:val="24"/>
          <w:lang w:val="en-GB"/>
        </w:rPr>
        <w:t>aternal mortality rate.</w:t>
      </w:r>
    </w:p>
    <w:p w14:paraId="733AFB93" w14:textId="6177DAD4" w:rsidR="00B01561" w:rsidRPr="00B96EDC" w:rsidRDefault="0094003C"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10</w:t>
      </w:r>
      <w:r w:rsidR="000F3577" w:rsidRPr="00B96EDC">
        <w:rPr>
          <w:rFonts w:ascii="Times New Roman" w:hAnsi="Times New Roman" w:cs="Times New Roman"/>
          <w:color w:val="auto"/>
          <w:sz w:val="24"/>
          <w:szCs w:val="24"/>
          <w:lang w:val="en-GB"/>
        </w:rPr>
        <w:t>.</w:t>
      </w:r>
      <w:r w:rsidR="000F3577" w:rsidRPr="00B96EDC">
        <w:rPr>
          <w:rFonts w:ascii="Times New Roman" w:hAnsi="Times New Roman" w:cs="Times New Roman"/>
          <w:color w:val="auto"/>
          <w:sz w:val="24"/>
          <w:szCs w:val="24"/>
          <w:lang w:val="en-GB"/>
        </w:rPr>
        <w:tab/>
      </w:r>
      <w:r w:rsidR="00A618E6" w:rsidRPr="00B96EDC">
        <w:rPr>
          <w:rFonts w:ascii="Times New Roman" w:hAnsi="Times New Roman" w:cs="Times New Roman"/>
          <w:color w:val="auto"/>
          <w:sz w:val="24"/>
          <w:szCs w:val="24"/>
          <w:lang w:val="en-GB"/>
        </w:rPr>
        <w:t>The Centre would like to inform the European Committee for Social Rights (the “Committee”) on the state of maternal mortality in the Slovak Republic. In 2017, the Slovak Republic stated that the main reason for maternal mortality is th</w:t>
      </w:r>
      <w:r w:rsidR="00853B03" w:rsidRPr="00B96EDC">
        <w:rPr>
          <w:rFonts w:ascii="Times New Roman" w:hAnsi="Times New Roman" w:cs="Times New Roman"/>
          <w:color w:val="auto"/>
          <w:sz w:val="24"/>
          <w:szCs w:val="24"/>
          <w:lang w:val="en-GB"/>
        </w:rPr>
        <w:t>at pregnant women are neglecting the prescribed medical check-ups and therefore, the new amendments to the Act 461/2003 Coll. On Social Security, as amended (the “Social Security</w:t>
      </w:r>
      <w:r w:rsidR="00C85DF3" w:rsidRPr="00B96EDC">
        <w:rPr>
          <w:rFonts w:ascii="Times New Roman" w:hAnsi="Times New Roman" w:cs="Times New Roman"/>
          <w:color w:val="auto"/>
          <w:sz w:val="24"/>
          <w:szCs w:val="24"/>
          <w:lang w:val="en-GB"/>
        </w:rPr>
        <w:t xml:space="preserve"> Act</w:t>
      </w:r>
      <w:r w:rsidR="00853B03" w:rsidRPr="00B96EDC">
        <w:rPr>
          <w:rFonts w:ascii="Times New Roman" w:hAnsi="Times New Roman" w:cs="Times New Roman"/>
          <w:color w:val="auto"/>
          <w:sz w:val="24"/>
          <w:szCs w:val="24"/>
          <w:lang w:val="en-GB"/>
        </w:rPr>
        <w:t>”) that condition the payment of maternity benefit fulfilling the obligation of attending the regular medical check-ups prescribed to pregnant women.</w:t>
      </w:r>
    </w:p>
    <w:p w14:paraId="2468D1FC" w14:textId="5EE787AA" w:rsidR="00C85DF3" w:rsidRPr="00B96EDC" w:rsidRDefault="0094003C"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11</w:t>
      </w:r>
      <w:r w:rsidR="000F3577" w:rsidRPr="00B96EDC">
        <w:rPr>
          <w:rFonts w:ascii="Times New Roman" w:hAnsi="Times New Roman" w:cs="Times New Roman"/>
          <w:color w:val="auto"/>
          <w:sz w:val="24"/>
          <w:szCs w:val="24"/>
          <w:lang w:val="en-GB"/>
        </w:rPr>
        <w:t>.</w:t>
      </w:r>
      <w:r w:rsidR="000F3577" w:rsidRPr="00B96EDC">
        <w:rPr>
          <w:rFonts w:ascii="Times New Roman" w:hAnsi="Times New Roman" w:cs="Times New Roman"/>
          <w:color w:val="auto"/>
          <w:sz w:val="24"/>
          <w:szCs w:val="24"/>
          <w:lang w:val="en-GB"/>
        </w:rPr>
        <w:tab/>
      </w:r>
      <w:r w:rsidR="00C85DF3" w:rsidRPr="00B96EDC">
        <w:rPr>
          <w:rFonts w:ascii="Times New Roman" w:hAnsi="Times New Roman" w:cs="Times New Roman"/>
          <w:color w:val="auto"/>
          <w:sz w:val="24"/>
          <w:szCs w:val="24"/>
          <w:lang w:val="en-GB"/>
        </w:rPr>
        <w:t>The Centre would like to clarify the benefits that can be drawn by pregnant women or mothers caring for one or more children. The set of benefits can be divided into social security benefits (regulated by the Social Security Act) and state benefits (regulated by individual legal acts).</w:t>
      </w:r>
    </w:p>
    <w:p w14:paraId="765DC755" w14:textId="65D47324" w:rsidR="00BA64B7" w:rsidRPr="00B96EDC" w:rsidRDefault="0094003C"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12</w:t>
      </w:r>
      <w:r w:rsidR="000F3577" w:rsidRPr="00B96EDC">
        <w:rPr>
          <w:rFonts w:ascii="Times New Roman" w:hAnsi="Times New Roman" w:cs="Times New Roman"/>
          <w:color w:val="auto"/>
          <w:sz w:val="24"/>
          <w:szCs w:val="24"/>
          <w:lang w:val="en-GB"/>
        </w:rPr>
        <w:t>.</w:t>
      </w:r>
      <w:r w:rsidR="000F3577" w:rsidRPr="00B96EDC">
        <w:rPr>
          <w:rFonts w:ascii="Times New Roman" w:hAnsi="Times New Roman" w:cs="Times New Roman"/>
          <w:color w:val="auto"/>
          <w:sz w:val="24"/>
          <w:szCs w:val="24"/>
          <w:lang w:val="en-GB"/>
        </w:rPr>
        <w:tab/>
        <w:t xml:space="preserve">The </w:t>
      </w:r>
      <w:r w:rsidR="00C85DF3" w:rsidRPr="00B96EDC">
        <w:rPr>
          <w:rFonts w:ascii="Times New Roman" w:hAnsi="Times New Roman" w:cs="Times New Roman"/>
          <w:color w:val="auto"/>
          <w:sz w:val="24"/>
          <w:szCs w:val="24"/>
          <w:lang w:val="en-GB"/>
        </w:rPr>
        <w:t xml:space="preserve">Social Security Act recognizes (i) benefit for a pregnant woman and (ii) maternity benefit. The </w:t>
      </w:r>
      <w:r w:rsidR="00853B03" w:rsidRPr="00B96EDC">
        <w:rPr>
          <w:rFonts w:ascii="Times New Roman" w:hAnsi="Times New Roman" w:cs="Times New Roman"/>
          <w:color w:val="auto"/>
          <w:sz w:val="24"/>
          <w:szCs w:val="24"/>
          <w:lang w:val="en-GB"/>
        </w:rPr>
        <w:t xml:space="preserve">benefit </w:t>
      </w:r>
      <w:r w:rsidR="00C85DF3" w:rsidRPr="00B96EDC">
        <w:rPr>
          <w:rFonts w:ascii="Times New Roman" w:hAnsi="Times New Roman" w:cs="Times New Roman"/>
          <w:color w:val="auto"/>
          <w:sz w:val="24"/>
          <w:szCs w:val="24"/>
          <w:lang w:val="en-GB"/>
        </w:rPr>
        <w:t>for pregnant women is a benefit for a</w:t>
      </w:r>
      <w:r w:rsidR="00853B03" w:rsidRPr="00B96EDC">
        <w:rPr>
          <w:rFonts w:ascii="Times New Roman" w:hAnsi="Times New Roman" w:cs="Times New Roman"/>
          <w:color w:val="auto"/>
          <w:sz w:val="24"/>
          <w:szCs w:val="24"/>
          <w:lang w:val="en-GB"/>
        </w:rPr>
        <w:t xml:space="preserve"> woman who was insured at least 270 days during the last two years is entitled to the benefit for pregnant women from 27</w:t>
      </w:r>
      <w:r w:rsidR="00853B03" w:rsidRPr="00B96EDC">
        <w:rPr>
          <w:rFonts w:ascii="Times New Roman" w:hAnsi="Times New Roman" w:cs="Times New Roman"/>
          <w:color w:val="auto"/>
          <w:sz w:val="24"/>
          <w:szCs w:val="24"/>
          <w:vertAlign w:val="superscript"/>
          <w:lang w:val="en-GB"/>
        </w:rPr>
        <w:t>th</w:t>
      </w:r>
      <w:r w:rsidR="00853B03" w:rsidRPr="00B96EDC">
        <w:rPr>
          <w:rFonts w:ascii="Times New Roman" w:hAnsi="Times New Roman" w:cs="Times New Roman"/>
          <w:color w:val="auto"/>
          <w:sz w:val="24"/>
          <w:szCs w:val="24"/>
          <w:lang w:val="en-GB"/>
        </w:rPr>
        <w:t xml:space="preserve"> week of pregnancy until the end of pregnancy</w:t>
      </w:r>
      <w:r w:rsidR="00C85DF3" w:rsidRPr="00B96EDC">
        <w:rPr>
          <w:rFonts w:ascii="Times New Roman" w:hAnsi="Times New Roman" w:cs="Times New Roman"/>
          <w:color w:val="auto"/>
          <w:sz w:val="24"/>
          <w:szCs w:val="24"/>
          <w:lang w:val="en-GB"/>
        </w:rPr>
        <w:t>. The maternity benefit is a benefit for a</w:t>
      </w:r>
      <w:r w:rsidR="00BA64B7" w:rsidRPr="00B96EDC">
        <w:rPr>
          <w:rFonts w:ascii="Times New Roman" w:hAnsi="Times New Roman" w:cs="Times New Roman"/>
          <w:color w:val="auto"/>
          <w:sz w:val="24"/>
          <w:szCs w:val="24"/>
          <w:lang w:val="en-GB"/>
        </w:rPr>
        <w:t xml:space="preserve"> </w:t>
      </w:r>
      <w:r w:rsidR="00853B03" w:rsidRPr="00B96EDC">
        <w:rPr>
          <w:rFonts w:ascii="Times New Roman" w:hAnsi="Times New Roman" w:cs="Times New Roman"/>
          <w:color w:val="auto"/>
          <w:sz w:val="24"/>
          <w:szCs w:val="24"/>
          <w:lang w:val="en-GB"/>
        </w:rPr>
        <w:t>woman who was insured at least 270 days during the last two years is entitled to the maternity benefit from 6</w:t>
      </w:r>
      <w:r w:rsidR="00853B03" w:rsidRPr="00B96EDC">
        <w:rPr>
          <w:rFonts w:ascii="Times New Roman" w:hAnsi="Times New Roman" w:cs="Times New Roman"/>
          <w:color w:val="auto"/>
          <w:sz w:val="24"/>
          <w:szCs w:val="24"/>
          <w:vertAlign w:val="superscript"/>
          <w:lang w:val="en-GB"/>
        </w:rPr>
        <w:t>th</w:t>
      </w:r>
      <w:r w:rsidR="00853B03" w:rsidRPr="00B96EDC">
        <w:rPr>
          <w:rFonts w:ascii="Times New Roman" w:hAnsi="Times New Roman" w:cs="Times New Roman"/>
          <w:color w:val="auto"/>
          <w:sz w:val="24"/>
          <w:szCs w:val="24"/>
          <w:lang w:val="en-GB"/>
        </w:rPr>
        <w:t xml:space="preserve"> week before the expected due date until the end 34</w:t>
      </w:r>
      <w:r w:rsidR="00853B03" w:rsidRPr="00B96EDC">
        <w:rPr>
          <w:rFonts w:ascii="Times New Roman" w:hAnsi="Times New Roman" w:cs="Times New Roman"/>
          <w:color w:val="auto"/>
          <w:sz w:val="24"/>
          <w:szCs w:val="24"/>
          <w:vertAlign w:val="superscript"/>
          <w:lang w:val="en-GB"/>
        </w:rPr>
        <w:t>th</w:t>
      </w:r>
      <w:r w:rsidR="00853B03" w:rsidRPr="00B96EDC">
        <w:rPr>
          <w:rFonts w:ascii="Times New Roman" w:hAnsi="Times New Roman" w:cs="Times New Roman"/>
          <w:color w:val="auto"/>
          <w:sz w:val="24"/>
          <w:szCs w:val="24"/>
          <w:lang w:val="en-GB"/>
        </w:rPr>
        <w:t xml:space="preserve"> week following the day when the entitlement for the </w:t>
      </w:r>
      <w:r w:rsidR="00BA64B7" w:rsidRPr="00B96EDC">
        <w:rPr>
          <w:rFonts w:ascii="Times New Roman" w:hAnsi="Times New Roman" w:cs="Times New Roman"/>
          <w:color w:val="auto"/>
          <w:sz w:val="24"/>
          <w:szCs w:val="24"/>
          <w:lang w:val="en-GB"/>
        </w:rPr>
        <w:t xml:space="preserve">benefit arose. Different conditions apply to women who deliver </w:t>
      </w:r>
      <w:r w:rsidR="00C85DF3" w:rsidRPr="00B96EDC">
        <w:rPr>
          <w:rFonts w:ascii="Times New Roman" w:hAnsi="Times New Roman" w:cs="Times New Roman"/>
          <w:color w:val="auto"/>
          <w:sz w:val="24"/>
          <w:szCs w:val="24"/>
          <w:lang w:val="en-GB"/>
        </w:rPr>
        <w:t>two and more children</w:t>
      </w:r>
      <w:r w:rsidR="00BA64B7" w:rsidRPr="00B96EDC">
        <w:rPr>
          <w:rFonts w:ascii="Times New Roman" w:hAnsi="Times New Roman" w:cs="Times New Roman"/>
          <w:color w:val="auto"/>
          <w:sz w:val="24"/>
          <w:szCs w:val="24"/>
          <w:lang w:val="en-GB"/>
        </w:rPr>
        <w:t xml:space="preserve"> or women who </w:t>
      </w:r>
      <w:r w:rsidR="00C85DF3" w:rsidRPr="00B96EDC">
        <w:rPr>
          <w:rFonts w:ascii="Times New Roman" w:hAnsi="Times New Roman" w:cs="Times New Roman"/>
          <w:color w:val="auto"/>
          <w:sz w:val="24"/>
          <w:szCs w:val="24"/>
          <w:lang w:val="en-GB"/>
        </w:rPr>
        <w:t>deliver stillborn child</w:t>
      </w:r>
      <w:r w:rsidR="000B2D85" w:rsidRPr="00B96EDC">
        <w:rPr>
          <w:rFonts w:ascii="Times New Roman" w:hAnsi="Times New Roman" w:cs="Times New Roman"/>
          <w:color w:val="auto"/>
          <w:sz w:val="24"/>
          <w:szCs w:val="24"/>
          <w:lang w:val="en-GB"/>
        </w:rPr>
        <w:t>.</w:t>
      </w:r>
    </w:p>
    <w:p w14:paraId="07340513" w14:textId="2BECD6EC" w:rsidR="00BA64B7" w:rsidRPr="00B96EDC" w:rsidRDefault="0094003C"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w:t>
      </w:r>
      <w:r w:rsidR="000F3577" w:rsidRPr="00B96EDC">
        <w:rPr>
          <w:rFonts w:ascii="Times New Roman" w:hAnsi="Times New Roman" w:cs="Times New Roman"/>
          <w:color w:val="auto"/>
          <w:sz w:val="24"/>
          <w:szCs w:val="24"/>
          <w:lang w:val="en-GB"/>
        </w:rPr>
        <w:t>.</w:t>
      </w:r>
      <w:r w:rsidR="000F3577" w:rsidRPr="00B96EDC">
        <w:rPr>
          <w:rFonts w:ascii="Times New Roman" w:hAnsi="Times New Roman" w:cs="Times New Roman"/>
          <w:color w:val="auto"/>
          <w:sz w:val="24"/>
          <w:szCs w:val="24"/>
          <w:lang w:val="en-GB"/>
        </w:rPr>
        <w:tab/>
      </w:r>
      <w:r w:rsidR="00BA64B7" w:rsidRPr="00B96EDC">
        <w:rPr>
          <w:rFonts w:ascii="Times New Roman" w:hAnsi="Times New Roman" w:cs="Times New Roman"/>
          <w:color w:val="auto"/>
          <w:sz w:val="24"/>
          <w:szCs w:val="24"/>
          <w:lang w:val="en-GB"/>
        </w:rPr>
        <w:t>T</w:t>
      </w:r>
      <w:r w:rsidR="000F3577" w:rsidRPr="00B96EDC">
        <w:rPr>
          <w:rFonts w:ascii="Times New Roman" w:hAnsi="Times New Roman" w:cs="Times New Roman"/>
          <w:color w:val="auto"/>
          <w:sz w:val="24"/>
          <w:szCs w:val="24"/>
          <w:lang w:val="en-GB"/>
        </w:rPr>
        <w:t xml:space="preserve">he </w:t>
      </w:r>
      <w:r w:rsidR="00BA64B7" w:rsidRPr="00B96EDC">
        <w:rPr>
          <w:rFonts w:ascii="Times New Roman" w:hAnsi="Times New Roman" w:cs="Times New Roman"/>
          <w:color w:val="auto"/>
          <w:sz w:val="24"/>
          <w:szCs w:val="24"/>
          <w:lang w:val="en-GB"/>
        </w:rPr>
        <w:t xml:space="preserve">Social Security </w:t>
      </w:r>
      <w:r w:rsidR="000F3577" w:rsidRPr="00B96EDC">
        <w:rPr>
          <w:rFonts w:ascii="Times New Roman" w:hAnsi="Times New Roman" w:cs="Times New Roman"/>
          <w:color w:val="auto"/>
          <w:sz w:val="24"/>
          <w:szCs w:val="24"/>
          <w:lang w:val="en-GB"/>
        </w:rPr>
        <w:t xml:space="preserve">Act </w:t>
      </w:r>
      <w:r w:rsidR="00BA64B7" w:rsidRPr="00B96EDC">
        <w:rPr>
          <w:rFonts w:ascii="Times New Roman" w:hAnsi="Times New Roman" w:cs="Times New Roman"/>
          <w:color w:val="auto"/>
          <w:sz w:val="24"/>
          <w:szCs w:val="24"/>
          <w:lang w:val="en-GB"/>
        </w:rPr>
        <w:t>does not include any provision that would prevent a woman who did not attend the prescribed check-ups for pregnant women from drawing up the benefit for pregnant women (introduced in 2020) or the maternity benefit as stated by the S</w:t>
      </w:r>
      <w:r w:rsidR="009A1AB0" w:rsidRPr="00B96EDC">
        <w:rPr>
          <w:rFonts w:ascii="Times New Roman" w:hAnsi="Times New Roman" w:cs="Times New Roman"/>
          <w:color w:val="auto"/>
          <w:sz w:val="24"/>
          <w:szCs w:val="24"/>
          <w:lang w:val="en-GB"/>
        </w:rPr>
        <w:t>lovak Republic in the 7</w:t>
      </w:r>
      <w:r w:rsidR="009A1AB0" w:rsidRPr="00B96EDC">
        <w:rPr>
          <w:rFonts w:ascii="Times New Roman" w:hAnsi="Times New Roman" w:cs="Times New Roman"/>
          <w:color w:val="auto"/>
          <w:sz w:val="24"/>
          <w:szCs w:val="24"/>
          <w:vertAlign w:val="superscript"/>
          <w:lang w:val="en-GB"/>
        </w:rPr>
        <w:t>th</w:t>
      </w:r>
      <w:r w:rsidR="009A1AB0" w:rsidRPr="00B96EDC">
        <w:rPr>
          <w:rFonts w:ascii="Times New Roman" w:hAnsi="Times New Roman" w:cs="Times New Roman"/>
          <w:color w:val="auto"/>
          <w:sz w:val="24"/>
          <w:szCs w:val="24"/>
          <w:lang w:val="en-GB"/>
        </w:rPr>
        <w:t xml:space="preserve"> National Report on the Implementation of the European Social Charter submitted by the Government of the Slovak Republic</w:t>
      </w:r>
      <w:r w:rsidR="00BA64B7" w:rsidRPr="00B96EDC">
        <w:rPr>
          <w:rFonts w:ascii="Times New Roman" w:hAnsi="Times New Roman" w:cs="Times New Roman"/>
          <w:color w:val="auto"/>
          <w:sz w:val="24"/>
          <w:szCs w:val="24"/>
          <w:lang w:val="en-GB"/>
        </w:rPr>
        <w:t xml:space="preserve">. Both benefits are </w:t>
      </w:r>
      <w:r w:rsidR="00C5263A" w:rsidRPr="00B96EDC">
        <w:rPr>
          <w:rFonts w:ascii="Times New Roman" w:hAnsi="Times New Roman" w:cs="Times New Roman"/>
          <w:color w:val="auto"/>
          <w:sz w:val="24"/>
          <w:szCs w:val="24"/>
          <w:lang w:val="en-GB"/>
        </w:rPr>
        <w:t xml:space="preserve">solely </w:t>
      </w:r>
      <w:r w:rsidR="00BA64B7" w:rsidRPr="00B96EDC">
        <w:rPr>
          <w:rFonts w:ascii="Times New Roman" w:hAnsi="Times New Roman" w:cs="Times New Roman"/>
          <w:color w:val="auto"/>
          <w:sz w:val="24"/>
          <w:szCs w:val="24"/>
          <w:lang w:val="en-GB"/>
        </w:rPr>
        <w:t>connected to the paymen</w:t>
      </w:r>
      <w:r w:rsidR="00C5263A" w:rsidRPr="00B96EDC">
        <w:rPr>
          <w:rFonts w:ascii="Times New Roman" w:hAnsi="Times New Roman" w:cs="Times New Roman"/>
          <w:color w:val="auto"/>
          <w:sz w:val="24"/>
          <w:szCs w:val="24"/>
          <w:lang w:val="en-GB"/>
        </w:rPr>
        <w:t>t of social security insurance and to provision of care for a child</w:t>
      </w:r>
      <w:r w:rsidR="000B2D85" w:rsidRPr="00B96EDC">
        <w:rPr>
          <w:rFonts w:ascii="Times New Roman" w:hAnsi="Times New Roman" w:cs="Times New Roman"/>
          <w:color w:val="auto"/>
          <w:sz w:val="24"/>
          <w:szCs w:val="24"/>
          <w:lang w:val="en-GB"/>
        </w:rPr>
        <w:t xml:space="preserve">. </w:t>
      </w:r>
      <w:r w:rsidR="00C5263A" w:rsidRPr="00B96EDC">
        <w:rPr>
          <w:rFonts w:ascii="Times New Roman" w:hAnsi="Times New Roman" w:cs="Times New Roman"/>
          <w:color w:val="auto"/>
          <w:sz w:val="24"/>
          <w:szCs w:val="24"/>
          <w:lang w:val="en-GB"/>
        </w:rPr>
        <w:t xml:space="preserve">Only employed women or self-employed women who pay social security insurance are entitled to the benefit for pregnant women or maternity benefit. </w:t>
      </w:r>
      <w:r w:rsidR="000B2D85" w:rsidRPr="00B96EDC">
        <w:rPr>
          <w:rFonts w:ascii="Times New Roman" w:hAnsi="Times New Roman" w:cs="Times New Roman"/>
          <w:color w:val="auto"/>
          <w:sz w:val="24"/>
          <w:szCs w:val="24"/>
          <w:lang w:val="en-GB"/>
        </w:rPr>
        <w:t xml:space="preserve">Therefore, these benefits are not available for some groups of women, e.g. unemployed, students etc. </w:t>
      </w:r>
    </w:p>
    <w:p w14:paraId="29725549" w14:textId="3ABADA1B" w:rsidR="000B2D85" w:rsidRPr="00B96EDC" w:rsidRDefault="0094003C"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lastRenderedPageBreak/>
        <w:t>14</w:t>
      </w:r>
      <w:r w:rsidR="000F3577" w:rsidRPr="00B96EDC">
        <w:rPr>
          <w:rFonts w:ascii="Times New Roman" w:hAnsi="Times New Roman" w:cs="Times New Roman"/>
          <w:color w:val="auto"/>
          <w:sz w:val="24"/>
          <w:szCs w:val="24"/>
          <w:lang w:val="en-GB"/>
        </w:rPr>
        <w:t>.</w:t>
      </w:r>
      <w:r w:rsidR="000F3577" w:rsidRPr="00B96EDC">
        <w:rPr>
          <w:rFonts w:ascii="Times New Roman" w:hAnsi="Times New Roman" w:cs="Times New Roman"/>
          <w:color w:val="auto"/>
          <w:sz w:val="24"/>
          <w:szCs w:val="24"/>
          <w:lang w:val="en-GB"/>
        </w:rPr>
        <w:tab/>
      </w:r>
      <w:r w:rsidR="000B2D85" w:rsidRPr="00B96EDC">
        <w:rPr>
          <w:rFonts w:ascii="Times New Roman" w:hAnsi="Times New Roman" w:cs="Times New Roman"/>
          <w:color w:val="auto"/>
          <w:sz w:val="24"/>
          <w:szCs w:val="24"/>
          <w:lang w:val="en-GB"/>
        </w:rPr>
        <w:t>If it comes to state benefits, there are various benefits supporting parents or other persons providing care for children (up to 3 years of age, in case of long-termly unfavo</w:t>
      </w:r>
      <w:r w:rsidR="00BB2887" w:rsidRPr="00B96EDC">
        <w:rPr>
          <w:rFonts w:ascii="Times New Roman" w:hAnsi="Times New Roman" w:cs="Times New Roman"/>
          <w:color w:val="auto"/>
          <w:sz w:val="24"/>
          <w:szCs w:val="24"/>
          <w:lang w:val="en-GB"/>
        </w:rPr>
        <w:t>u</w:t>
      </w:r>
      <w:r w:rsidR="000B2D85" w:rsidRPr="00B96EDC">
        <w:rPr>
          <w:rFonts w:ascii="Times New Roman" w:hAnsi="Times New Roman" w:cs="Times New Roman"/>
          <w:color w:val="auto"/>
          <w:sz w:val="24"/>
          <w:szCs w:val="24"/>
          <w:lang w:val="en-GB"/>
        </w:rPr>
        <w:t>rable health conditions – up to 6 years of age). These benefits include (i) childbirth allowance (one-time payment of 829,86 EUR for the first, second and third child), (ii) childbirth allowance in case the delivery of two or more children (</w:t>
      </w:r>
      <w:r w:rsidR="001010AF" w:rsidRPr="00B96EDC">
        <w:rPr>
          <w:rFonts w:ascii="Times New Roman" w:hAnsi="Times New Roman" w:cs="Times New Roman"/>
          <w:color w:val="auto"/>
          <w:sz w:val="24"/>
          <w:szCs w:val="24"/>
          <w:lang w:val="en-GB"/>
        </w:rPr>
        <w:t>110, 36 EUR per annum, until 15 years of age of the first child born)</w:t>
      </w:r>
      <w:r w:rsidR="000B2D85" w:rsidRPr="00B96EDC">
        <w:rPr>
          <w:rFonts w:ascii="Times New Roman" w:hAnsi="Times New Roman" w:cs="Times New Roman"/>
          <w:color w:val="auto"/>
          <w:sz w:val="24"/>
          <w:szCs w:val="24"/>
          <w:lang w:val="en-GB"/>
        </w:rPr>
        <w:t>, (iii) child allowance</w:t>
      </w:r>
      <w:r w:rsidR="001010AF" w:rsidRPr="00B96EDC">
        <w:rPr>
          <w:rFonts w:ascii="Times New Roman" w:hAnsi="Times New Roman" w:cs="Times New Roman"/>
          <w:color w:val="auto"/>
          <w:sz w:val="24"/>
          <w:szCs w:val="24"/>
          <w:lang w:val="en-GB"/>
        </w:rPr>
        <w:t xml:space="preserve"> (25,50 EUR per month, until 25 years of age of a child)</w:t>
      </w:r>
      <w:r w:rsidR="000B2D85" w:rsidRPr="00B96EDC">
        <w:rPr>
          <w:rFonts w:ascii="Times New Roman" w:hAnsi="Times New Roman" w:cs="Times New Roman"/>
          <w:color w:val="auto"/>
          <w:sz w:val="24"/>
          <w:szCs w:val="24"/>
          <w:lang w:val="en-GB"/>
        </w:rPr>
        <w:t>, surcharge to child allowance</w:t>
      </w:r>
      <w:r w:rsidR="001010AF" w:rsidRPr="00B96EDC">
        <w:rPr>
          <w:rFonts w:ascii="Times New Roman" w:hAnsi="Times New Roman" w:cs="Times New Roman"/>
          <w:color w:val="auto"/>
          <w:sz w:val="24"/>
          <w:szCs w:val="24"/>
          <w:lang w:val="en-GB"/>
        </w:rPr>
        <w:t xml:space="preserve"> (11, 96 EUR per month, until 25 years of age of child, in case a parent is not eligible for a tax bonus)</w:t>
      </w:r>
      <w:r w:rsidR="000B2D85" w:rsidRPr="00B96EDC">
        <w:rPr>
          <w:rFonts w:ascii="Times New Roman" w:hAnsi="Times New Roman" w:cs="Times New Roman"/>
          <w:color w:val="auto"/>
          <w:sz w:val="24"/>
          <w:szCs w:val="24"/>
          <w:lang w:val="en-GB"/>
        </w:rPr>
        <w:t>, (iii) parental allowance</w:t>
      </w:r>
      <w:r w:rsidR="001010AF" w:rsidRPr="00B96EDC">
        <w:rPr>
          <w:rFonts w:ascii="Times New Roman" w:hAnsi="Times New Roman" w:cs="Times New Roman"/>
          <w:color w:val="auto"/>
          <w:sz w:val="24"/>
          <w:szCs w:val="24"/>
          <w:lang w:val="en-GB"/>
        </w:rPr>
        <w:t xml:space="preserve"> (275,90 EUR per month, until 3 years of age of child or 6 years of age of a child suffering from log-term unfavo</w:t>
      </w:r>
      <w:r w:rsidR="00BB2887" w:rsidRPr="00B96EDC">
        <w:rPr>
          <w:rFonts w:ascii="Times New Roman" w:hAnsi="Times New Roman" w:cs="Times New Roman"/>
          <w:color w:val="auto"/>
          <w:sz w:val="24"/>
          <w:szCs w:val="24"/>
          <w:lang w:val="en-GB"/>
        </w:rPr>
        <w:t>u</w:t>
      </w:r>
      <w:r w:rsidR="001010AF" w:rsidRPr="00B96EDC">
        <w:rPr>
          <w:rFonts w:ascii="Times New Roman" w:hAnsi="Times New Roman" w:cs="Times New Roman"/>
          <w:color w:val="auto"/>
          <w:sz w:val="24"/>
          <w:szCs w:val="24"/>
          <w:lang w:val="en-GB"/>
        </w:rPr>
        <w:t>rable health condition)</w:t>
      </w:r>
      <w:r w:rsidR="000B2D85" w:rsidRPr="00B96EDC">
        <w:rPr>
          <w:rFonts w:ascii="Times New Roman" w:hAnsi="Times New Roman" w:cs="Times New Roman"/>
          <w:color w:val="auto"/>
          <w:sz w:val="24"/>
          <w:szCs w:val="24"/>
          <w:lang w:val="en-GB"/>
        </w:rPr>
        <w:t xml:space="preserve"> and (iv) childcare allowance</w:t>
      </w:r>
      <w:r w:rsidR="001010AF" w:rsidRPr="00B96EDC">
        <w:rPr>
          <w:rFonts w:ascii="Times New Roman" w:hAnsi="Times New Roman" w:cs="Times New Roman"/>
          <w:color w:val="auto"/>
          <w:sz w:val="24"/>
          <w:szCs w:val="24"/>
          <w:lang w:val="en-GB"/>
        </w:rPr>
        <w:t xml:space="preserve"> (280 EUR, 80 EUR or 41,10 EUR depending on the entity providing care for a child, until 3 years of age of child or 6 years of age of a child suffering from log-term unfavo</w:t>
      </w:r>
      <w:r w:rsidR="00BB2887" w:rsidRPr="00B96EDC">
        <w:rPr>
          <w:rFonts w:ascii="Times New Roman" w:hAnsi="Times New Roman" w:cs="Times New Roman"/>
          <w:color w:val="auto"/>
          <w:sz w:val="24"/>
          <w:szCs w:val="24"/>
          <w:lang w:val="en-GB"/>
        </w:rPr>
        <w:t>u</w:t>
      </w:r>
      <w:r w:rsidR="001010AF" w:rsidRPr="00B96EDC">
        <w:rPr>
          <w:rFonts w:ascii="Times New Roman" w:hAnsi="Times New Roman" w:cs="Times New Roman"/>
          <w:color w:val="auto"/>
          <w:sz w:val="24"/>
          <w:szCs w:val="24"/>
          <w:lang w:val="en-GB"/>
        </w:rPr>
        <w:t>rable health condition).</w:t>
      </w:r>
      <w:r w:rsidR="000B2D85" w:rsidRPr="00B96EDC">
        <w:rPr>
          <w:rFonts w:ascii="Times New Roman" w:hAnsi="Times New Roman" w:cs="Times New Roman"/>
          <w:color w:val="auto"/>
          <w:sz w:val="24"/>
          <w:szCs w:val="24"/>
          <w:lang w:val="en-GB"/>
        </w:rPr>
        <w:t xml:space="preserve"> </w:t>
      </w:r>
    </w:p>
    <w:p w14:paraId="5E52B7A2" w14:textId="07C04C28" w:rsidR="001010AF" w:rsidRPr="00B96EDC" w:rsidRDefault="0094003C"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w:t>
      </w:r>
      <w:r w:rsidR="00B025FC" w:rsidRPr="00B96EDC">
        <w:rPr>
          <w:rFonts w:ascii="Times New Roman" w:hAnsi="Times New Roman" w:cs="Times New Roman"/>
          <w:color w:val="auto"/>
          <w:sz w:val="24"/>
          <w:szCs w:val="24"/>
          <w:lang w:val="en-GB"/>
        </w:rPr>
        <w:t>5</w:t>
      </w:r>
      <w:r w:rsidR="000F3577" w:rsidRPr="00B96EDC">
        <w:rPr>
          <w:rFonts w:ascii="Times New Roman" w:hAnsi="Times New Roman" w:cs="Times New Roman"/>
          <w:color w:val="auto"/>
          <w:sz w:val="24"/>
          <w:szCs w:val="24"/>
          <w:lang w:val="en-GB"/>
        </w:rPr>
        <w:t>.</w:t>
      </w:r>
      <w:r w:rsidR="000F3577" w:rsidRPr="00B96EDC">
        <w:rPr>
          <w:rFonts w:ascii="Times New Roman" w:hAnsi="Times New Roman" w:cs="Times New Roman"/>
          <w:color w:val="auto"/>
          <w:sz w:val="24"/>
          <w:szCs w:val="24"/>
          <w:lang w:val="en-GB"/>
        </w:rPr>
        <w:tab/>
      </w:r>
      <w:r w:rsidR="001010AF" w:rsidRPr="00B96EDC">
        <w:rPr>
          <w:rFonts w:ascii="Times New Roman" w:hAnsi="Times New Roman" w:cs="Times New Roman"/>
          <w:color w:val="auto"/>
          <w:sz w:val="24"/>
          <w:szCs w:val="24"/>
          <w:lang w:val="en-GB"/>
        </w:rPr>
        <w:t xml:space="preserve">The only state benefit that includes the condition to undergo all medical check-ups for pregnant women </w:t>
      </w:r>
      <w:r w:rsidR="000F3577" w:rsidRPr="00B96EDC">
        <w:rPr>
          <w:rFonts w:ascii="Times New Roman" w:hAnsi="Times New Roman" w:cs="Times New Roman"/>
          <w:color w:val="auto"/>
          <w:sz w:val="24"/>
          <w:szCs w:val="24"/>
          <w:lang w:val="en-GB"/>
        </w:rPr>
        <w:t>(from 4</w:t>
      </w:r>
      <w:r w:rsidR="000F3577" w:rsidRPr="00B96EDC">
        <w:rPr>
          <w:rFonts w:ascii="Times New Roman" w:hAnsi="Times New Roman" w:cs="Times New Roman"/>
          <w:color w:val="auto"/>
          <w:sz w:val="24"/>
          <w:szCs w:val="24"/>
          <w:vertAlign w:val="superscript"/>
          <w:lang w:val="en-GB"/>
        </w:rPr>
        <w:t>th</w:t>
      </w:r>
      <w:r w:rsidR="000F3577" w:rsidRPr="00B96EDC">
        <w:rPr>
          <w:rFonts w:ascii="Times New Roman" w:hAnsi="Times New Roman" w:cs="Times New Roman"/>
          <w:color w:val="auto"/>
          <w:sz w:val="24"/>
          <w:szCs w:val="24"/>
          <w:lang w:val="en-GB"/>
        </w:rPr>
        <w:t xml:space="preserve"> to 9</w:t>
      </w:r>
      <w:r w:rsidR="000F3577" w:rsidRPr="00B96EDC">
        <w:rPr>
          <w:rFonts w:ascii="Times New Roman" w:hAnsi="Times New Roman" w:cs="Times New Roman"/>
          <w:color w:val="auto"/>
          <w:sz w:val="24"/>
          <w:szCs w:val="24"/>
          <w:vertAlign w:val="superscript"/>
          <w:lang w:val="en-GB"/>
        </w:rPr>
        <w:t>th</w:t>
      </w:r>
      <w:r w:rsidR="000F3577" w:rsidRPr="00B96EDC">
        <w:rPr>
          <w:rFonts w:ascii="Times New Roman" w:hAnsi="Times New Roman" w:cs="Times New Roman"/>
          <w:color w:val="auto"/>
          <w:sz w:val="24"/>
          <w:szCs w:val="24"/>
          <w:lang w:val="en-GB"/>
        </w:rPr>
        <w:t xml:space="preserve"> month of pregnancy) for the entitlement to the benefit is the childbirth allowance. At the same time, the Centre would like to point out that the legislation does not include any mechanisms that would ensure the entitlement to the childbirth benefit for women who could not attend the prescribed medical check-ups due to the force majeure, e.g. women in coma, women who were not diagnosed with pregnancy until very late stages etc. </w:t>
      </w:r>
    </w:p>
    <w:p w14:paraId="5D0E9300" w14:textId="51BB4D62" w:rsidR="00874F8E" w:rsidRPr="00B96EDC" w:rsidRDefault="00B025FC"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16</w:t>
      </w:r>
      <w:r w:rsidR="005D6E81" w:rsidRPr="00B96EDC">
        <w:rPr>
          <w:rFonts w:ascii="Times New Roman" w:hAnsi="Times New Roman" w:cs="Times New Roman"/>
          <w:color w:val="auto"/>
          <w:sz w:val="24"/>
          <w:szCs w:val="24"/>
          <w:lang w:val="en-GB"/>
        </w:rPr>
        <w:t>.</w:t>
      </w:r>
      <w:r w:rsidR="005D6E81" w:rsidRPr="00B96EDC">
        <w:rPr>
          <w:rFonts w:ascii="Times New Roman" w:hAnsi="Times New Roman" w:cs="Times New Roman"/>
          <w:color w:val="auto"/>
          <w:sz w:val="24"/>
          <w:szCs w:val="24"/>
          <w:lang w:val="en-GB"/>
        </w:rPr>
        <w:tab/>
        <w:t>The maternal mortality in Slovakia</w:t>
      </w:r>
      <w:r w:rsidR="003D2760" w:rsidRPr="00B96EDC">
        <w:rPr>
          <w:rFonts w:ascii="Times New Roman" w:hAnsi="Times New Roman" w:cs="Times New Roman"/>
          <w:color w:val="auto"/>
          <w:sz w:val="24"/>
          <w:szCs w:val="24"/>
          <w:lang w:val="en-GB"/>
        </w:rPr>
        <w:t xml:space="preserve"> fluctuates </w:t>
      </w:r>
      <w:r w:rsidR="009F697F" w:rsidRPr="00B96EDC">
        <w:rPr>
          <w:rFonts w:ascii="Times New Roman" w:hAnsi="Times New Roman" w:cs="Times New Roman"/>
          <w:color w:val="auto"/>
          <w:sz w:val="24"/>
          <w:szCs w:val="24"/>
          <w:lang w:val="en-GB"/>
        </w:rPr>
        <w:t>(</w:t>
      </w:r>
      <w:r w:rsidR="003D2760" w:rsidRPr="00B96EDC">
        <w:rPr>
          <w:rFonts w:ascii="Times New Roman" w:hAnsi="Times New Roman" w:cs="Times New Roman"/>
          <w:color w:val="auto"/>
          <w:sz w:val="24"/>
          <w:szCs w:val="24"/>
          <w:lang w:val="en-GB"/>
        </w:rPr>
        <w:t>Table N</w:t>
      </w:r>
      <w:r w:rsidR="005D6E81" w:rsidRPr="00B96EDC">
        <w:rPr>
          <w:rFonts w:ascii="Times New Roman" w:hAnsi="Times New Roman" w:cs="Times New Roman"/>
          <w:color w:val="auto"/>
          <w:sz w:val="24"/>
          <w:szCs w:val="24"/>
          <w:lang w:val="en-GB"/>
        </w:rPr>
        <w:t xml:space="preserve">o. 1). Two major national strategies – National Investment Plan of Slovakia for the Years 2018 – 2030 (pilot version) and the Strategic Framework for the health care for the Years 2014 – 2030 do not include any concrete measure that would aim at decreasing the maternal mortality in Slovakia or increase the quality of maternal healthcare. </w:t>
      </w:r>
      <w:r w:rsidR="003D2760" w:rsidRPr="00B96EDC">
        <w:rPr>
          <w:rFonts w:ascii="Times New Roman" w:hAnsi="Times New Roman" w:cs="Times New Roman"/>
          <w:color w:val="auto"/>
          <w:sz w:val="24"/>
          <w:szCs w:val="24"/>
          <w:lang w:val="en-GB"/>
        </w:rPr>
        <w:t>Moreover, the quality of</w:t>
      </w:r>
      <w:r w:rsidR="00BB2887" w:rsidRPr="00B96EDC">
        <w:rPr>
          <w:rFonts w:ascii="Times New Roman" w:hAnsi="Times New Roman" w:cs="Times New Roman"/>
          <w:color w:val="auto"/>
          <w:sz w:val="24"/>
          <w:szCs w:val="24"/>
          <w:lang w:val="en-GB"/>
        </w:rPr>
        <w:t xml:space="preserve"> healthcare provided in relation to labour and delivery or </w:t>
      </w:r>
      <w:r w:rsidR="003D2760" w:rsidRPr="00B96EDC">
        <w:rPr>
          <w:rFonts w:ascii="Times New Roman" w:hAnsi="Times New Roman" w:cs="Times New Roman"/>
          <w:color w:val="auto"/>
          <w:sz w:val="24"/>
          <w:szCs w:val="24"/>
          <w:lang w:val="en-GB"/>
        </w:rPr>
        <w:t>maternal healthcare</w:t>
      </w:r>
      <w:r w:rsidR="00BB2887" w:rsidRPr="00B96EDC">
        <w:rPr>
          <w:rFonts w:ascii="Times New Roman" w:hAnsi="Times New Roman" w:cs="Times New Roman"/>
          <w:color w:val="auto"/>
          <w:sz w:val="24"/>
          <w:szCs w:val="24"/>
          <w:lang w:val="en-GB"/>
        </w:rPr>
        <w:t xml:space="preserve"> in general</w:t>
      </w:r>
      <w:r w:rsidR="003D2760" w:rsidRPr="00B96EDC">
        <w:rPr>
          <w:rFonts w:ascii="Times New Roman" w:hAnsi="Times New Roman" w:cs="Times New Roman"/>
          <w:color w:val="auto"/>
          <w:sz w:val="24"/>
          <w:szCs w:val="24"/>
          <w:lang w:val="en-GB"/>
        </w:rPr>
        <w:t xml:space="preserve"> </w:t>
      </w:r>
      <w:r w:rsidR="00BB2887" w:rsidRPr="00B96EDC">
        <w:rPr>
          <w:rFonts w:ascii="Times New Roman" w:hAnsi="Times New Roman" w:cs="Times New Roman"/>
          <w:color w:val="auto"/>
          <w:sz w:val="24"/>
          <w:szCs w:val="24"/>
          <w:lang w:val="en-GB"/>
        </w:rPr>
        <w:t>is not</w:t>
      </w:r>
      <w:r w:rsidR="003D2760" w:rsidRPr="00B96EDC">
        <w:rPr>
          <w:rFonts w:ascii="Times New Roman" w:hAnsi="Times New Roman" w:cs="Times New Roman"/>
          <w:color w:val="auto"/>
          <w:sz w:val="24"/>
          <w:szCs w:val="24"/>
          <w:lang w:val="en-GB"/>
        </w:rPr>
        <w:t xml:space="preserve"> ensured on national level as well as in</w:t>
      </w:r>
      <w:r w:rsidR="00BB2887" w:rsidRPr="00B96EDC">
        <w:rPr>
          <w:rFonts w:ascii="Times New Roman" w:hAnsi="Times New Roman" w:cs="Times New Roman"/>
          <w:color w:val="auto"/>
          <w:sz w:val="24"/>
          <w:szCs w:val="24"/>
          <w:lang w:val="en-GB"/>
        </w:rPr>
        <w:t xml:space="preserve"> the individual regions. This is because, t</w:t>
      </w:r>
      <w:r w:rsidR="003D2760" w:rsidRPr="00B96EDC">
        <w:rPr>
          <w:rFonts w:ascii="Times New Roman" w:hAnsi="Times New Roman" w:cs="Times New Roman"/>
          <w:color w:val="auto"/>
          <w:sz w:val="24"/>
          <w:szCs w:val="24"/>
          <w:lang w:val="en-GB"/>
        </w:rPr>
        <w:t xml:space="preserve">he Ministry of Health of the Slovak </w:t>
      </w:r>
      <w:r w:rsidR="00BB2887" w:rsidRPr="00B96EDC">
        <w:rPr>
          <w:rFonts w:ascii="Times New Roman" w:hAnsi="Times New Roman" w:cs="Times New Roman"/>
          <w:color w:val="auto"/>
          <w:sz w:val="24"/>
          <w:szCs w:val="24"/>
          <w:lang w:val="en-GB"/>
        </w:rPr>
        <w:t>Republic has not yet adopted any</w:t>
      </w:r>
      <w:r w:rsidR="003D2760" w:rsidRPr="00B96EDC">
        <w:rPr>
          <w:rFonts w:ascii="Times New Roman" w:hAnsi="Times New Roman" w:cs="Times New Roman"/>
          <w:color w:val="auto"/>
          <w:sz w:val="24"/>
          <w:szCs w:val="24"/>
          <w:lang w:val="en-GB"/>
        </w:rPr>
        <w:t xml:space="preserve"> relevant standard clinical </w:t>
      </w:r>
      <w:r w:rsidR="00BB2887" w:rsidRPr="00B96EDC">
        <w:rPr>
          <w:rFonts w:ascii="Times New Roman" w:hAnsi="Times New Roman" w:cs="Times New Roman"/>
          <w:color w:val="auto"/>
          <w:sz w:val="24"/>
          <w:szCs w:val="24"/>
          <w:lang w:val="en-GB"/>
        </w:rPr>
        <w:t xml:space="preserve">guidelines for labour and delivery. </w:t>
      </w:r>
    </w:p>
    <w:p w14:paraId="2032D9DD" w14:textId="45BB54B0" w:rsidR="009D3056" w:rsidRPr="00B96EDC" w:rsidRDefault="0094003C"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b/>
          <w:color w:val="auto"/>
          <w:sz w:val="24"/>
          <w:szCs w:val="24"/>
          <w:lang w:val="en-GB"/>
        </w:rPr>
        <w:t>Table No. 5</w:t>
      </w:r>
      <w:r w:rsidR="009D3056" w:rsidRPr="00B96EDC">
        <w:rPr>
          <w:rFonts w:ascii="Times New Roman" w:hAnsi="Times New Roman" w:cs="Times New Roman"/>
          <w:b/>
          <w:color w:val="auto"/>
          <w:sz w:val="24"/>
          <w:szCs w:val="24"/>
          <w:lang w:val="en-GB"/>
        </w:rPr>
        <w:t>:</w:t>
      </w:r>
      <w:r w:rsidR="009D3056" w:rsidRPr="00B96EDC">
        <w:rPr>
          <w:rFonts w:ascii="Times New Roman" w:hAnsi="Times New Roman" w:cs="Times New Roman"/>
          <w:color w:val="auto"/>
          <w:sz w:val="24"/>
          <w:szCs w:val="24"/>
          <w:lang w:val="en-GB"/>
        </w:rPr>
        <w:t xml:space="preserve"> </w:t>
      </w:r>
      <w:r w:rsidR="009D3056" w:rsidRPr="00B96EDC">
        <w:rPr>
          <w:rFonts w:ascii="Times New Roman" w:hAnsi="Times New Roman" w:cs="Times New Roman"/>
          <w:i/>
          <w:color w:val="auto"/>
          <w:sz w:val="24"/>
          <w:szCs w:val="24"/>
          <w:lang w:val="en-GB"/>
        </w:rPr>
        <w:t>Maternal Mortality Ratio</w:t>
      </w:r>
      <w:r w:rsidR="004C3D26" w:rsidRPr="00B96EDC">
        <w:rPr>
          <w:rFonts w:ascii="Times New Roman" w:hAnsi="Times New Roman" w:cs="Times New Roman"/>
          <w:i/>
          <w:color w:val="auto"/>
          <w:sz w:val="24"/>
          <w:szCs w:val="24"/>
          <w:lang w:val="en-GB"/>
        </w:rPr>
        <w:t xml:space="preserve"> in the Slovak Republic for</w:t>
      </w:r>
      <w:r w:rsidR="00BB2887" w:rsidRPr="00B96EDC">
        <w:rPr>
          <w:rFonts w:ascii="Times New Roman" w:hAnsi="Times New Roman" w:cs="Times New Roman"/>
          <w:i/>
          <w:color w:val="auto"/>
          <w:sz w:val="24"/>
          <w:szCs w:val="24"/>
          <w:lang w:val="en-GB"/>
        </w:rPr>
        <w:t xml:space="preserve"> the years 2016 - 2018</w:t>
      </w:r>
      <w:r w:rsidR="00BB2887" w:rsidRPr="00B96EDC">
        <w:rPr>
          <w:rStyle w:val="Odkaznapoznmkupodiarou"/>
          <w:rFonts w:ascii="Times New Roman" w:hAnsi="Times New Roman" w:cs="Times New Roman"/>
          <w:i/>
          <w:color w:val="auto"/>
          <w:sz w:val="24"/>
          <w:szCs w:val="24"/>
          <w:lang w:val="en-GB"/>
        </w:rPr>
        <w:footnoteReference w:id="23"/>
      </w:r>
    </w:p>
    <w:tbl>
      <w:tblPr>
        <w:tblStyle w:val="Mriekatabuky"/>
        <w:tblW w:w="0" w:type="auto"/>
        <w:tblLook w:val="04A0" w:firstRow="1" w:lastRow="0" w:firstColumn="1" w:lastColumn="0" w:noHBand="0" w:noVBand="1"/>
      </w:tblPr>
      <w:tblGrid>
        <w:gridCol w:w="2423"/>
        <w:gridCol w:w="2357"/>
        <w:gridCol w:w="2357"/>
        <w:gridCol w:w="2209"/>
      </w:tblGrid>
      <w:tr w:rsidR="009D3056" w:rsidRPr="00B96EDC" w14:paraId="0DB07FD2" w14:textId="75BBA5EE" w:rsidTr="009D3056">
        <w:tc>
          <w:tcPr>
            <w:tcW w:w="2423" w:type="dxa"/>
          </w:tcPr>
          <w:p w14:paraId="0F883DE3" w14:textId="1CEF5E9E" w:rsidR="009D3056" w:rsidRPr="00B96EDC" w:rsidRDefault="009D3056" w:rsidP="00874F8E">
            <w:pPr>
              <w:spacing w:after="120" w:line="276" w:lineRule="auto"/>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Region</w:t>
            </w:r>
          </w:p>
        </w:tc>
        <w:tc>
          <w:tcPr>
            <w:tcW w:w="2357" w:type="dxa"/>
          </w:tcPr>
          <w:p w14:paraId="78BAE32F" w14:textId="0C4280DF" w:rsidR="009D3056" w:rsidRPr="00B96EDC" w:rsidRDefault="009D3056" w:rsidP="00874F8E">
            <w:pPr>
              <w:spacing w:after="120" w:line="276" w:lineRule="auto"/>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2018</w:t>
            </w:r>
          </w:p>
        </w:tc>
        <w:tc>
          <w:tcPr>
            <w:tcW w:w="2357" w:type="dxa"/>
          </w:tcPr>
          <w:p w14:paraId="34AA8B58" w14:textId="0E0CC95B" w:rsidR="009D3056" w:rsidRPr="00B96EDC" w:rsidRDefault="009D3056" w:rsidP="00874F8E">
            <w:pPr>
              <w:spacing w:after="120" w:line="276" w:lineRule="auto"/>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2017</w:t>
            </w:r>
          </w:p>
        </w:tc>
        <w:tc>
          <w:tcPr>
            <w:tcW w:w="2209" w:type="dxa"/>
          </w:tcPr>
          <w:p w14:paraId="3AD9A0AF" w14:textId="7BEA0AC8" w:rsidR="009D3056" w:rsidRPr="00B96EDC" w:rsidRDefault="009D3056" w:rsidP="00874F8E">
            <w:pPr>
              <w:spacing w:after="120" w:line="276" w:lineRule="auto"/>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2016</w:t>
            </w:r>
          </w:p>
        </w:tc>
      </w:tr>
      <w:tr w:rsidR="009D3056" w:rsidRPr="00B96EDC" w14:paraId="227A546B" w14:textId="49F631EA" w:rsidTr="009D3056">
        <w:tc>
          <w:tcPr>
            <w:tcW w:w="2423" w:type="dxa"/>
          </w:tcPr>
          <w:p w14:paraId="47244E64" w14:textId="654F23D2"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Slovak Republic</w:t>
            </w:r>
          </w:p>
        </w:tc>
        <w:tc>
          <w:tcPr>
            <w:tcW w:w="2357" w:type="dxa"/>
          </w:tcPr>
          <w:p w14:paraId="56E02785" w14:textId="40E99549"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3,47</w:t>
            </w:r>
          </w:p>
        </w:tc>
        <w:tc>
          <w:tcPr>
            <w:tcW w:w="2357" w:type="dxa"/>
          </w:tcPr>
          <w:p w14:paraId="7059074F" w14:textId="7D211254"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5,18</w:t>
            </w:r>
          </w:p>
        </w:tc>
        <w:tc>
          <w:tcPr>
            <w:tcW w:w="2209" w:type="dxa"/>
          </w:tcPr>
          <w:p w14:paraId="04E5BDC5" w14:textId="35F4AEA2"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6,95</w:t>
            </w:r>
          </w:p>
        </w:tc>
      </w:tr>
      <w:tr w:rsidR="009D3056" w:rsidRPr="00B96EDC" w14:paraId="36370F12" w14:textId="7CADE749" w:rsidTr="009D3056">
        <w:tc>
          <w:tcPr>
            <w:tcW w:w="2423" w:type="dxa"/>
          </w:tcPr>
          <w:p w14:paraId="4A0543F1" w14:textId="74388CFD"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Bratislava </w:t>
            </w:r>
          </w:p>
        </w:tc>
        <w:tc>
          <w:tcPr>
            <w:tcW w:w="2357" w:type="dxa"/>
          </w:tcPr>
          <w:p w14:paraId="470C61CC" w14:textId="4D1F7E8D"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357" w:type="dxa"/>
          </w:tcPr>
          <w:p w14:paraId="4110A281" w14:textId="0DE7AD6D"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209" w:type="dxa"/>
          </w:tcPr>
          <w:p w14:paraId="368EC89E" w14:textId="787D098D"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r>
      <w:tr w:rsidR="009D3056" w:rsidRPr="00B96EDC" w14:paraId="0BB017C3" w14:textId="1EB31ADC" w:rsidTr="009D3056">
        <w:tc>
          <w:tcPr>
            <w:tcW w:w="2423" w:type="dxa"/>
          </w:tcPr>
          <w:p w14:paraId="794A0811" w14:textId="50A20F7A"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Trnava </w:t>
            </w:r>
          </w:p>
        </w:tc>
        <w:tc>
          <w:tcPr>
            <w:tcW w:w="2357" w:type="dxa"/>
          </w:tcPr>
          <w:p w14:paraId="28246EE9" w14:textId="778D8B05"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357" w:type="dxa"/>
          </w:tcPr>
          <w:p w14:paraId="18BFA881" w14:textId="0BF4F974"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209" w:type="dxa"/>
          </w:tcPr>
          <w:p w14:paraId="581A2C02" w14:textId="0D249E2D"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36,41</w:t>
            </w:r>
          </w:p>
        </w:tc>
      </w:tr>
      <w:tr w:rsidR="009D3056" w:rsidRPr="00B96EDC" w14:paraId="7037F041" w14:textId="7F172A81" w:rsidTr="009D3056">
        <w:tc>
          <w:tcPr>
            <w:tcW w:w="2423" w:type="dxa"/>
          </w:tcPr>
          <w:p w14:paraId="7D8C3E78" w14:textId="145D0C00"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Nitra </w:t>
            </w:r>
          </w:p>
        </w:tc>
        <w:tc>
          <w:tcPr>
            <w:tcW w:w="2357" w:type="dxa"/>
          </w:tcPr>
          <w:p w14:paraId="08458F5D" w14:textId="0BC22D24"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357" w:type="dxa"/>
          </w:tcPr>
          <w:p w14:paraId="6F99895F" w14:textId="50129C39"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209" w:type="dxa"/>
          </w:tcPr>
          <w:p w14:paraId="36C698A4" w14:textId="6FE470D6"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r>
      <w:tr w:rsidR="009D3056" w:rsidRPr="00B96EDC" w14:paraId="6D995B6B" w14:textId="7BDA9621" w:rsidTr="009D3056">
        <w:tc>
          <w:tcPr>
            <w:tcW w:w="2423" w:type="dxa"/>
          </w:tcPr>
          <w:p w14:paraId="2D08D970" w14:textId="75326A34"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Žilina </w:t>
            </w:r>
          </w:p>
        </w:tc>
        <w:tc>
          <w:tcPr>
            <w:tcW w:w="2357" w:type="dxa"/>
          </w:tcPr>
          <w:p w14:paraId="478A5FD9" w14:textId="6D02579A"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357" w:type="dxa"/>
          </w:tcPr>
          <w:p w14:paraId="228BF095" w14:textId="750022AD"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209" w:type="dxa"/>
          </w:tcPr>
          <w:p w14:paraId="0BBE65EE" w14:textId="1C476979"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13,65</w:t>
            </w:r>
          </w:p>
        </w:tc>
      </w:tr>
      <w:tr w:rsidR="009D3056" w:rsidRPr="00B96EDC" w14:paraId="68FC33C5" w14:textId="22590B58" w:rsidTr="009D3056">
        <w:tc>
          <w:tcPr>
            <w:tcW w:w="2423" w:type="dxa"/>
          </w:tcPr>
          <w:p w14:paraId="2F55092A" w14:textId="7C218986"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lastRenderedPageBreak/>
              <w:t xml:space="preserve">Trenčín </w:t>
            </w:r>
          </w:p>
        </w:tc>
        <w:tc>
          <w:tcPr>
            <w:tcW w:w="2357" w:type="dxa"/>
          </w:tcPr>
          <w:p w14:paraId="6C4D5C4F" w14:textId="1AA1DAC4"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19,18</w:t>
            </w:r>
          </w:p>
        </w:tc>
        <w:tc>
          <w:tcPr>
            <w:tcW w:w="2357" w:type="dxa"/>
          </w:tcPr>
          <w:p w14:paraId="6EDB2A8C" w14:textId="213F3D3D"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209" w:type="dxa"/>
          </w:tcPr>
          <w:p w14:paraId="4D14E511" w14:textId="29C9C372"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r>
      <w:tr w:rsidR="009D3056" w:rsidRPr="00B96EDC" w14:paraId="4A379748" w14:textId="35A49C8F" w:rsidTr="009D3056">
        <w:tc>
          <w:tcPr>
            <w:tcW w:w="2423" w:type="dxa"/>
          </w:tcPr>
          <w:p w14:paraId="2E5AF099" w14:textId="0FB05E62"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Prešov </w:t>
            </w:r>
          </w:p>
        </w:tc>
        <w:tc>
          <w:tcPr>
            <w:tcW w:w="2357" w:type="dxa"/>
          </w:tcPr>
          <w:p w14:paraId="71CCE3DD" w14:textId="298E8DD0"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357" w:type="dxa"/>
          </w:tcPr>
          <w:p w14:paraId="5C4E7DA9" w14:textId="7DE7FB5C"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20,16</w:t>
            </w:r>
          </w:p>
        </w:tc>
        <w:tc>
          <w:tcPr>
            <w:tcW w:w="2209" w:type="dxa"/>
          </w:tcPr>
          <w:p w14:paraId="0716FC8F" w14:textId="69B6BD94"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10,14</w:t>
            </w:r>
          </w:p>
        </w:tc>
      </w:tr>
      <w:tr w:rsidR="009D3056" w:rsidRPr="00B96EDC" w14:paraId="39AD2FEB" w14:textId="77777777" w:rsidTr="009D3056">
        <w:tc>
          <w:tcPr>
            <w:tcW w:w="2423" w:type="dxa"/>
          </w:tcPr>
          <w:p w14:paraId="69D7AE5C" w14:textId="754B3F0E"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Košice </w:t>
            </w:r>
          </w:p>
        </w:tc>
        <w:tc>
          <w:tcPr>
            <w:tcW w:w="2357" w:type="dxa"/>
          </w:tcPr>
          <w:p w14:paraId="1248E45A" w14:textId="71943F73"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357" w:type="dxa"/>
          </w:tcPr>
          <w:p w14:paraId="116D1DE0" w14:textId="14D462BA"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11,16</w:t>
            </w:r>
          </w:p>
        </w:tc>
        <w:tc>
          <w:tcPr>
            <w:tcW w:w="2209" w:type="dxa"/>
          </w:tcPr>
          <w:p w14:paraId="221FD14D" w14:textId="3C5BB013"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r>
      <w:tr w:rsidR="009D3056" w:rsidRPr="00B96EDC" w14:paraId="44089E27" w14:textId="77777777" w:rsidTr="009D3056">
        <w:tc>
          <w:tcPr>
            <w:tcW w:w="2423" w:type="dxa"/>
          </w:tcPr>
          <w:p w14:paraId="4E5DA7BF" w14:textId="7A358FE0"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Banská Bystrica </w:t>
            </w:r>
          </w:p>
        </w:tc>
        <w:tc>
          <w:tcPr>
            <w:tcW w:w="2357" w:type="dxa"/>
          </w:tcPr>
          <w:p w14:paraId="79F91D67" w14:textId="43207C7A"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16,43</w:t>
            </w:r>
          </w:p>
        </w:tc>
        <w:tc>
          <w:tcPr>
            <w:tcW w:w="2357" w:type="dxa"/>
          </w:tcPr>
          <w:p w14:paraId="64EA0282" w14:textId="121D0057"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c>
          <w:tcPr>
            <w:tcW w:w="2209" w:type="dxa"/>
          </w:tcPr>
          <w:p w14:paraId="006F2C71" w14:textId="247EA391" w:rsidR="009D3056" w:rsidRPr="00B96EDC" w:rsidRDefault="009D3056" w:rsidP="00874F8E">
            <w:pPr>
              <w:spacing w:after="120" w:line="276" w:lineRule="auto"/>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0,00</w:t>
            </w:r>
          </w:p>
        </w:tc>
      </w:tr>
    </w:tbl>
    <w:p w14:paraId="64F9BB0A" w14:textId="77777777" w:rsidR="00A22AD6" w:rsidRPr="00B96EDC" w:rsidRDefault="00A22AD6" w:rsidP="00874F8E">
      <w:pPr>
        <w:widowControl w:val="0"/>
        <w:spacing w:after="120"/>
        <w:ind w:right="0"/>
        <w:jc w:val="both"/>
        <w:rPr>
          <w:rFonts w:ascii="Times New Roman" w:hAnsi="Times New Roman" w:cs="Times New Roman"/>
          <w:color w:val="auto"/>
          <w:sz w:val="24"/>
          <w:szCs w:val="24"/>
          <w:lang w:val="en-GB"/>
        </w:rPr>
      </w:pPr>
    </w:p>
    <w:p w14:paraId="11327B05" w14:textId="4ED662D0" w:rsidR="00D54D65" w:rsidRPr="00B96EDC" w:rsidRDefault="00B025FC" w:rsidP="00874F8E">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17</w:t>
      </w:r>
      <w:r w:rsidR="00A22AD6" w:rsidRPr="00B96EDC">
        <w:rPr>
          <w:rFonts w:ascii="Times New Roman" w:hAnsi="Times New Roman" w:cs="Times New Roman"/>
          <w:color w:val="auto"/>
          <w:sz w:val="24"/>
          <w:szCs w:val="24"/>
          <w:lang w:val="en-GB"/>
        </w:rPr>
        <w:t>.</w:t>
      </w:r>
      <w:r w:rsidR="00A22AD6" w:rsidRPr="00B96EDC">
        <w:rPr>
          <w:rFonts w:ascii="Times New Roman" w:hAnsi="Times New Roman" w:cs="Times New Roman"/>
          <w:color w:val="auto"/>
          <w:sz w:val="24"/>
          <w:szCs w:val="24"/>
          <w:lang w:val="en-GB"/>
        </w:rPr>
        <w:tab/>
      </w:r>
      <w:r w:rsidR="009D3056" w:rsidRPr="00B96EDC">
        <w:rPr>
          <w:rFonts w:ascii="Times New Roman" w:hAnsi="Times New Roman" w:cs="Times New Roman"/>
          <w:color w:val="auto"/>
          <w:sz w:val="24"/>
          <w:szCs w:val="24"/>
          <w:lang w:val="en-GB"/>
        </w:rPr>
        <w:t xml:space="preserve">Non-governmental organizations – </w:t>
      </w:r>
      <w:r w:rsidR="00BB2887" w:rsidRPr="00B96EDC">
        <w:rPr>
          <w:rFonts w:ascii="Times New Roman" w:hAnsi="Times New Roman" w:cs="Times New Roman"/>
          <w:color w:val="auto"/>
          <w:sz w:val="24"/>
          <w:szCs w:val="24"/>
          <w:lang w:val="en-GB"/>
        </w:rPr>
        <w:t>“</w:t>
      </w:r>
      <w:r w:rsidR="009D3056" w:rsidRPr="00B96EDC">
        <w:rPr>
          <w:rFonts w:ascii="Times New Roman" w:hAnsi="Times New Roman" w:cs="Times New Roman"/>
          <w:i/>
          <w:color w:val="auto"/>
          <w:sz w:val="24"/>
          <w:szCs w:val="24"/>
          <w:lang w:val="en-GB"/>
        </w:rPr>
        <w:t>Ženské kruhy</w:t>
      </w:r>
      <w:r w:rsidR="00BB2887" w:rsidRPr="00B96EDC">
        <w:rPr>
          <w:rFonts w:ascii="Times New Roman" w:hAnsi="Times New Roman" w:cs="Times New Roman"/>
          <w:color w:val="auto"/>
          <w:sz w:val="24"/>
          <w:szCs w:val="24"/>
          <w:lang w:val="en-GB"/>
        </w:rPr>
        <w:t>”</w:t>
      </w:r>
      <w:r w:rsidR="009D3056" w:rsidRPr="00B96EDC">
        <w:rPr>
          <w:rStyle w:val="Odkaznapoznmkupodiarou"/>
          <w:rFonts w:ascii="Times New Roman" w:hAnsi="Times New Roman" w:cs="Times New Roman"/>
          <w:color w:val="auto"/>
          <w:sz w:val="24"/>
          <w:szCs w:val="24"/>
          <w:lang w:val="en-GB"/>
        </w:rPr>
        <w:footnoteReference w:id="24"/>
      </w:r>
      <w:r w:rsidR="00BB2887" w:rsidRPr="00B96EDC">
        <w:rPr>
          <w:rFonts w:ascii="Times New Roman" w:hAnsi="Times New Roman" w:cs="Times New Roman"/>
          <w:color w:val="auto"/>
          <w:sz w:val="24"/>
          <w:szCs w:val="24"/>
          <w:lang w:val="en-GB"/>
        </w:rPr>
        <w:t xml:space="preserve"> and</w:t>
      </w:r>
      <w:r w:rsidR="009D3056" w:rsidRPr="00B96EDC">
        <w:rPr>
          <w:rFonts w:ascii="Times New Roman" w:hAnsi="Times New Roman" w:cs="Times New Roman"/>
          <w:color w:val="auto"/>
          <w:sz w:val="24"/>
          <w:szCs w:val="24"/>
          <w:lang w:val="en-GB"/>
        </w:rPr>
        <w:t xml:space="preserve"> </w:t>
      </w:r>
      <w:r w:rsidR="00BB2887" w:rsidRPr="00B96EDC">
        <w:rPr>
          <w:rFonts w:ascii="Times New Roman" w:hAnsi="Times New Roman" w:cs="Times New Roman"/>
          <w:color w:val="auto"/>
          <w:sz w:val="24"/>
          <w:szCs w:val="24"/>
          <w:lang w:val="en-GB"/>
        </w:rPr>
        <w:t>“</w:t>
      </w:r>
      <w:r w:rsidR="009D3056" w:rsidRPr="00B96EDC">
        <w:rPr>
          <w:rFonts w:ascii="Times New Roman" w:hAnsi="Times New Roman" w:cs="Times New Roman"/>
          <w:i/>
          <w:color w:val="auto"/>
          <w:sz w:val="24"/>
          <w:szCs w:val="24"/>
          <w:lang w:val="en-GB"/>
        </w:rPr>
        <w:t>Občan Demokracia a zodpovednosť</w:t>
      </w:r>
      <w:r w:rsidR="00BB2887" w:rsidRPr="00B96EDC">
        <w:rPr>
          <w:rFonts w:ascii="Times New Roman" w:hAnsi="Times New Roman" w:cs="Times New Roman"/>
          <w:color w:val="auto"/>
          <w:sz w:val="24"/>
          <w:szCs w:val="24"/>
          <w:lang w:val="en-GB"/>
        </w:rPr>
        <w:t>”</w:t>
      </w:r>
      <w:r w:rsidR="00BB2887" w:rsidRPr="00B96EDC">
        <w:rPr>
          <w:rStyle w:val="Odkaznapoznmkupodiarou"/>
          <w:rFonts w:ascii="Times New Roman" w:hAnsi="Times New Roman" w:cs="Times New Roman"/>
          <w:color w:val="auto"/>
          <w:sz w:val="24"/>
          <w:szCs w:val="24"/>
          <w:lang w:val="en-GB"/>
        </w:rPr>
        <w:footnoteReference w:id="25"/>
      </w:r>
      <w:r w:rsidR="00BB2887" w:rsidRPr="00B96EDC">
        <w:rPr>
          <w:rFonts w:ascii="Times New Roman" w:hAnsi="Times New Roman" w:cs="Times New Roman"/>
          <w:color w:val="auto"/>
          <w:sz w:val="24"/>
          <w:szCs w:val="24"/>
          <w:lang w:val="en-GB"/>
        </w:rPr>
        <w:t xml:space="preserve"> have been monitoring the enjoyment of human rights during the labour and delivery</w:t>
      </w:r>
      <w:r w:rsidR="00A22AD6" w:rsidRPr="00B96EDC">
        <w:rPr>
          <w:rFonts w:ascii="Times New Roman" w:hAnsi="Times New Roman" w:cs="Times New Roman"/>
          <w:color w:val="auto"/>
          <w:sz w:val="24"/>
          <w:szCs w:val="24"/>
          <w:lang w:val="en-GB"/>
        </w:rPr>
        <w:t xml:space="preserve"> and have been regularly reporting serious human rights violations such as physical violence (e.g. pressuring a woman to deliver in a lying position, using Kristeller expression, conducting episiotomy and/or amniotomy without indication, using violence such as slapping to pressure the women giving birth to cooperate with the medical personnel</w:t>
      </w:r>
      <w:r w:rsidR="00E427D9" w:rsidRPr="00B96EDC">
        <w:rPr>
          <w:rFonts w:ascii="Times New Roman" w:hAnsi="Times New Roman" w:cs="Times New Roman"/>
          <w:color w:val="auto"/>
          <w:sz w:val="24"/>
          <w:szCs w:val="24"/>
          <w:lang w:val="en-GB"/>
        </w:rPr>
        <w:t xml:space="preserve">, </w:t>
      </w:r>
      <w:r w:rsidR="00385386" w:rsidRPr="00B96EDC">
        <w:rPr>
          <w:rFonts w:ascii="Times New Roman" w:hAnsi="Times New Roman" w:cs="Times New Roman"/>
          <w:color w:val="auto"/>
          <w:sz w:val="24"/>
          <w:szCs w:val="24"/>
          <w:lang w:val="en-GB"/>
        </w:rPr>
        <w:t>stitching without appropriate anaesthesia, bed restraint</w:t>
      </w:r>
      <w:r w:rsidR="00874F8E" w:rsidRPr="00B96EDC">
        <w:rPr>
          <w:rFonts w:ascii="Times New Roman" w:hAnsi="Times New Roman" w:cs="Times New Roman"/>
          <w:color w:val="auto"/>
          <w:sz w:val="24"/>
          <w:szCs w:val="24"/>
          <w:lang w:val="en-GB"/>
        </w:rPr>
        <w:t>) or</w:t>
      </w:r>
      <w:r w:rsidR="00A22AD6" w:rsidRPr="00B96EDC">
        <w:rPr>
          <w:rFonts w:ascii="Times New Roman" w:hAnsi="Times New Roman" w:cs="Times New Roman"/>
          <w:color w:val="auto"/>
          <w:sz w:val="24"/>
          <w:szCs w:val="24"/>
          <w:lang w:val="en-GB"/>
        </w:rPr>
        <w:t xml:space="preserve"> psychical violence (e.g. shouting at women giving birth, mocking women giving birth</w:t>
      </w:r>
      <w:r w:rsidR="00385386" w:rsidRPr="00B96EDC">
        <w:rPr>
          <w:rFonts w:ascii="Times New Roman" w:hAnsi="Times New Roman" w:cs="Times New Roman"/>
          <w:color w:val="auto"/>
          <w:sz w:val="24"/>
          <w:szCs w:val="24"/>
          <w:lang w:val="en-GB"/>
        </w:rPr>
        <w:t>, intimidation</w:t>
      </w:r>
      <w:r w:rsidR="00A22AD6" w:rsidRPr="00B96EDC">
        <w:rPr>
          <w:rFonts w:ascii="Times New Roman" w:hAnsi="Times New Roman" w:cs="Times New Roman"/>
          <w:color w:val="auto"/>
          <w:sz w:val="24"/>
          <w:szCs w:val="24"/>
          <w:lang w:val="en-GB"/>
        </w:rPr>
        <w:t>).</w:t>
      </w:r>
      <w:r w:rsidR="00874F8E" w:rsidRPr="00B96EDC">
        <w:rPr>
          <w:rStyle w:val="Odkaznapoznmkupodiarou"/>
          <w:rFonts w:ascii="Times New Roman" w:hAnsi="Times New Roman" w:cs="Times New Roman"/>
          <w:color w:val="auto"/>
          <w:sz w:val="24"/>
          <w:szCs w:val="24"/>
          <w:lang w:val="en-GB"/>
        </w:rPr>
        <w:footnoteReference w:id="26"/>
      </w:r>
      <w:r w:rsidR="00A22AD6" w:rsidRPr="00B96EDC">
        <w:rPr>
          <w:rFonts w:ascii="Times New Roman" w:hAnsi="Times New Roman" w:cs="Times New Roman"/>
          <w:color w:val="auto"/>
          <w:sz w:val="24"/>
          <w:szCs w:val="24"/>
          <w:lang w:val="en-GB"/>
        </w:rPr>
        <w:t xml:space="preserve"> Both organisations – </w:t>
      </w:r>
      <w:r w:rsidR="00A22AD6" w:rsidRPr="00B96EDC">
        <w:rPr>
          <w:rFonts w:ascii="Times New Roman" w:hAnsi="Times New Roman" w:cs="Times New Roman"/>
          <w:i/>
          <w:color w:val="auto"/>
          <w:sz w:val="24"/>
          <w:szCs w:val="24"/>
          <w:lang w:val="en-GB"/>
        </w:rPr>
        <w:t>Ženské kruhy</w:t>
      </w:r>
      <w:r w:rsidR="00A22AD6" w:rsidRPr="00B96EDC">
        <w:rPr>
          <w:rFonts w:ascii="Times New Roman" w:hAnsi="Times New Roman" w:cs="Times New Roman"/>
          <w:color w:val="auto"/>
          <w:sz w:val="24"/>
          <w:szCs w:val="24"/>
          <w:lang w:val="en-GB"/>
        </w:rPr>
        <w:t xml:space="preserve"> as well as </w:t>
      </w:r>
      <w:r w:rsidR="00A22AD6" w:rsidRPr="00B96EDC">
        <w:rPr>
          <w:rFonts w:ascii="Times New Roman" w:hAnsi="Times New Roman" w:cs="Times New Roman"/>
          <w:i/>
          <w:color w:val="auto"/>
          <w:sz w:val="24"/>
          <w:szCs w:val="24"/>
          <w:lang w:val="en-GB"/>
        </w:rPr>
        <w:t>Občan, Demokracia a Zodpovednosť</w:t>
      </w:r>
      <w:r w:rsidR="00A22AD6" w:rsidRPr="00B96EDC">
        <w:rPr>
          <w:rFonts w:ascii="Times New Roman" w:hAnsi="Times New Roman" w:cs="Times New Roman"/>
          <w:color w:val="auto"/>
          <w:sz w:val="24"/>
          <w:szCs w:val="24"/>
          <w:lang w:val="en-GB"/>
        </w:rPr>
        <w:t xml:space="preserve"> consider also problematic the </w:t>
      </w:r>
      <w:r w:rsidR="00E427D9" w:rsidRPr="00B96EDC">
        <w:rPr>
          <w:rFonts w:ascii="Times New Roman" w:hAnsi="Times New Roman" w:cs="Times New Roman"/>
          <w:color w:val="auto"/>
          <w:sz w:val="24"/>
          <w:szCs w:val="24"/>
          <w:lang w:val="en-GB"/>
        </w:rPr>
        <w:t xml:space="preserve">way how medical personal </w:t>
      </w:r>
      <w:r w:rsidR="00385386" w:rsidRPr="00B96EDC">
        <w:rPr>
          <w:rFonts w:ascii="Times New Roman" w:hAnsi="Times New Roman" w:cs="Times New Roman"/>
          <w:color w:val="auto"/>
          <w:sz w:val="24"/>
          <w:szCs w:val="24"/>
          <w:lang w:val="en-GB"/>
        </w:rPr>
        <w:t xml:space="preserve">obtains </w:t>
      </w:r>
      <w:r w:rsidR="00E427D9" w:rsidRPr="00B96EDC">
        <w:rPr>
          <w:rFonts w:ascii="Times New Roman" w:hAnsi="Times New Roman" w:cs="Times New Roman"/>
          <w:color w:val="auto"/>
          <w:sz w:val="24"/>
          <w:szCs w:val="24"/>
          <w:lang w:val="en-GB"/>
        </w:rPr>
        <w:t xml:space="preserve">informed consent during the labour and delivery and how </w:t>
      </w:r>
      <w:r w:rsidR="00385386" w:rsidRPr="00B96EDC">
        <w:rPr>
          <w:rFonts w:ascii="Times New Roman" w:hAnsi="Times New Roman" w:cs="Times New Roman"/>
          <w:color w:val="auto"/>
          <w:sz w:val="24"/>
          <w:szCs w:val="24"/>
          <w:lang w:val="en-GB"/>
        </w:rPr>
        <w:t>are women giving birth informed about the individual procedures and medication</w:t>
      </w:r>
      <w:r w:rsidR="00874F8E" w:rsidRPr="00B96EDC">
        <w:rPr>
          <w:rFonts w:ascii="Times New Roman" w:hAnsi="Times New Roman" w:cs="Times New Roman"/>
          <w:color w:val="auto"/>
          <w:sz w:val="24"/>
          <w:szCs w:val="24"/>
          <w:lang w:val="en-GB"/>
        </w:rPr>
        <w:t xml:space="preserve"> prescribed.</w:t>
      </w:r>
      <w:r w:rsidR="00874F8E" w:rsidRPr="00B96EDC">
        <w:rPr>
          <w:rStyle w:val="Odkaznapoznmkupodiarou"/>
          <w:rFonts w:ascii="Times New Roman" w:hAnsi="Times New Roman" w:cs="Times New Roman"/>
          <w:color w:val="auto"/>
          <w:sz w:val="24"/>
          <w:szCs w:val="24"/>
          <w:lang w:val="en-GB"/>
        </w:rPr>
        <w:footnoteReference w:id="27"/>
      </w:r>
    </w:p>
    <w:p w14:paraId="22D4CB75" w14:textId="77777777" w:rsidR="005F5C47" w:rsidRPr="00B96EDC" w:rsidRDefault="005F5C47" w:rsidP="00874F8E">
      <w:pPr>
        <w:widowControl w:val="0"/>
        <w:spacing w:after="120"/>
        <w:ind w:right="0"/>
        <w:jc w:val="both"/>
        <w:rPr>
          <w:rFonts w:ascii="Times New Roman" w:hAnsi="Times New Roman" w:cs="Times New Roman"/>
          <w:color w:val="auto"/>
          <w:sz w:val="24"/>
          <w:szCs w:val="24"/>
          <w:lang w:val="en-GB"/>
        </w:rPr>
      </w:pPr>
    </w:p>
    <w:p w14:paraId="613C835A" w14:textId="04FAC143" w:rsidR="00422703" w:rsidRPr="00B96EDC" w:rsidRDefault="0024240B" w:rsidP="00874F8E">
      <w:pPr>
        <w:widowControl w:val="0"/>
        <w:spacing w:after="120"/>
        <w:ind w:right="0"/>
        <w:jc w:val="both"/>
        <w:rPr>
          <w:rFonts w:ascii="Times New Roman" w:hAnsi="Times New Roman" w:cs="Times New Roman"/>
          <w:b/>
          <w:i/>
          <w:color w:val="auto"/>
          <w:sz w:val="24"/>
          <w:szCs w:val="24"/>
          <w:lang w:val="en-GB"/>
        </w:rPr>
      </w:pPr>
      <w:r w:rsidRPr="00B96EDC">
        <w:rPr>
          <w:rFonts w:ascii="Times New Roman" w:hAnsi="Times New Roman" w:cs="Times New Roman"/>
          <w:b/>
          <w:i/>
          <w:color w:val="auto"/>
          <w:sz w:val="24"/>
          <w:szCs w:val="24"/>
          <w:lang w:val="en-GB"/>
        </w:rPr>
        <w:t>Planned parenthood and access to abortion.</w:t>
      </w:r>
    </w:p>
    <w:p w14:paraId="182CFE19" w14:textId="695E18BE" w:rsidR="00874F8E" w:rsidRPr="00B96EDC" w:rsidRDefault="00515229" w:rsidP="00874F8E">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20</w:t>
      </w:r>
      <w:r w:rsidR="008C1AD5" w:rsidRPr="00B96EDC">
        <w:rPr>
          <w:rFonts w:ascii="Times New Roman" w:hAnsi="Times New Roman" w:cs="Times New Roman"/>
          <w:color w:val="auto"/>
          <w:sz w:val="24"/>
          <w:szCs w:val="24"/>
          <w:lang w:val="en-GB"/>
        </w:rPr>
        <w:t>.</w:t>
      </w:r>
      <w:r w:rsidR="008C1AD5" w:rsidRPr="00B96EDC">
        <w:rPr>
          <w:rFonts w:ascii="Times New Roman" w:hAnsi="Times New Roman" w:cs="Times New Roman"/>
          <w:color w:val="auto"/>
          <w:sz w:val="24"/>
          <w:szCs w:val="24"/>
          <w:lang w:val="en-GB"/>
        </w:rPr>
        <w:tab/>
        <w:t>Enjoyment of reproductive rights in the Slovak Republic has been problematic for many years and resonates in the overall evaluation of the protection and promotion of human rights in the Slovak republic on the international level.</w:t>
      </w:r>
      <w:r w:rsidR="008C1AD5" w:rsidRPr="00B96EDC">
        <w:rPr>
          <w:rStyle w:val="Odkaznapoznmkupodiarou"/>
          <w:rFonts w:ascii="Times New Roman" w:hAnsi="Times New Roman" w:cs="Times New Roman"/>
          <w:color w:val="auto"/>
          <w:sz w:val="24"/>
          <w:szCs w:val="24"/>
          <w:lang w:val="en-GB"/>
        </w:rPr>
        <w:footnoteReference w:id="28"/>
      </w:r>
      <w:r w:rsidR="00B02532" w:rsidRPr="00B96EDC">
        <w:rPr>
          <w:rFonts w:ascii="Times New Roman" w:hAnsi="Times New Roman" w:cs="Times New Roman"/>
          <w:color w:val="auto"/>
          <w:sz w:val="24"/>
          <w:szCs w:val="24"/>
          <w:lang w:val="en-GB"/>
        </w:rPr>
        <w:t xml:space="preserve"> The state of protection and promotion of reproductive rights is unsatisfactory, especially due to: (i) availability, safety and selection of contraceptive, (ii) infertility treatment, (iii) availability and safety of abortion, (iv) prevention, treatment and control of sexually transmitted diseases, including HIV (v) maternal and new-born care, (vi) healthy adolescent sexuality and elimination of traditional harmful practices. Despite the recommendations of experts, civil society organisations, international community</w:t>
      </w:r>
      <w:r w:rsidR="00B02532" w:rsidRPr="00B96EDC">
        <w:rPr>
          <w:rStyle w:val="Odkaznapoznmkupodiarou"/>
          <w:rFonts w:ascii="Times New Roman" w:hAnsi="Times New Roman" w:cs="Times New Roman"/>
          <w:color w:val="auto"/>
          <w:sz w:val="24"/>
          <w:szCs w:val="24"/>
          <w:lang w:val="en-GB"/>
        </w:rPr>
        <w:footnoteReference w:id="29"/>
      </w:r>
      <w:r w:rsidR="00B02532" w:rsidRPr="00B96EDC">
        <w:rPr>
          <w:rFonts w:ascii="Times New Roman" w:hAnsi="Times New Roman" w:cs="Times New Roman"/>
          <w:color w:val="auto"/>
          <w:sz w:val="24"/>
          <w:szCs w:val="24"/>
          <w:lang w:val="en-GB"/>
        </w:rPr>
        <w:t xml:space="preserve"> or United </w:t>
      </w:r>
      <w:r w:rsidR="00B02532" w:rsidRPr="00B96EDC">
        <w:rPr>
          <w:rFonts w:ascii="Times New Roman" w:hAnsi="Times New Roman" w:cs="Times New Roman"/>
          <w:color w:val="auto"/>
          <w:sz w:val="24"/>
          <w:szCs w:val="24"/>
          <w:lang w:val="en-GB"/>
        </w:rPr>
        <w:lastRenderedPageBreak/>
        <w:t>Nations committees</w:t>
      </w:r>
      <w:r w:rsidR="002127F5" w:rsidRPr="00B96EDC">
        <w:rPr>
          <w:rStyle w:val="Odkaznapoznmkupodiarou"/>
          <w:rFonts w:ascii="Times New Roman" w:hAnsi="Times New Roman" w:cs="Times New Roman"/>
          <w:color w:val="auto"/>
          <w:sz w:val="24"/>
          <w:szCs w:val="24"/>
          <w:lang w:val="en-GB"/>
        </w:rPr>
        <w:footnoteReference w:id="30"/>
      </w:r>
      <w:r w:rsidR="00B02532" w:rsidRPr="00B96EDC">
        <w:rPr>
          <w:rFonts w:ascii="Times New Roman" w:hAnsi="Times New Roman" w:cs="Times New Roman"/>
          <w:color w:val="auto"/>
          <w:sz w:val="24"/>
          <w:szCs w:val="24"/>
          <w:lang w:val="en-GB"/>
        </w:rPr>
        <w:t xml:space="preserve"> to adopt comprehensive policy regulating reproductive and sexual health, such policy has not been yet adopted.</w:t>
      </w:r>
      <w:r w:rsidR="002127F5" w:rsidRPr="00B96EDC">
        <w:rPr>
          <w:rFonts w:ascii="Times New Roman" w:hAnsi="Times New Roman" w:cs="Times New Roman"/>
          <w:color w:val="auto"/>
          <w:sz w:val="24"/>
          <w:szCs w:val="24"/>
          <w:lang w:val="en-GB"/>
        </w:rPr>
        <w:t xml:space="preserve"> Adoption and implementation of national strategy and action plan on sexual and reproductive health as a result of participatory and transparent process with regular monitoring and evaluation with allocation of sufficient funds is the basic obligation of the Slovak republic. </w:t>
      </w:r>
    </w:p>
    <w:p w14:paraId="08A0B2B3" w14:textId="73957B58" w:rsidR="009F697F" w:rsidRPr="00B96EDC" w:rsidRDefault="00515229" w:rsidP="004C3D26">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21</w:t>
      </w:r>
      <w:r w:rsidR="002127F5" w:rsidRPr="00B96EDC">
        <w:rPr>
          <w:rFonts w:ascii="Times New Roman" w:hAnsi="Times New Roman" w:cs="Times New Roman"/>
          <w:color w:val="auto"/>
          <w:sz w:val="24"/>
          <w:szCs w:val="24"/>
          <w:lang w:val="en-GB"/>
        </w:rPr>
        <w:t>.</w:t>
      </w:r>
      <w:r w:rsidR="002127F5" w:rsidRPr="00B96EDC">
        <w:rPr>
          <w:rFonts w:ascii="Times New Roman" w:hAnsi="Times New Roman" w:cs="Times New Roman"/>
          <w:color w:val="auto"/>
          <w:sz w:val="24"/>
          <w:szCs w:val="24"/>
          <w:lang w:val="en-GB"/>
        </w:rPr>
        <w:tab/>
        <w:t xml:space="preserve">Planning </w:t>
      </w:r>
      <w:r w:rsidR="008C08DB" w:rsidRPr="00B96EDC">
        <w:rPr>
          <w:rFonts w:ascii="Times New Roman" w:hAnsi="Times New Roman" w:cs="Times New Roman"/>
          <w:color w:val="auto"/>
          <w:sz w:val="24"/>
          <w:szCs w:val="24"/>
          <w:lang w:val="en-GB"/>
        </w:rPr>
        <w:t xml:space="preserve">parenthood, especially access to wide scale of contraceptives and respective information as well as access to infertility treatment remains unsatisfactory. </w:t>
      </w:r>
      <w:r w:rsidR="00007A53" w:rsidRPr="00B96EDC">
        <w:rPr>
          <w:rFonts w:ascii="Times New Roman" w:hAnsi="Times New Roman" w:cs="Times New Roman"/>
          <w:color w:val="auto"/>
          <w:sz w:val="24"/>
          <w:szCs w:val="24"/>
          <w:lang w:val="en-GB"/>
        </w:rPr>
        <w:t xml:space="preserve">European Contraception Policy </w:t>
      </w:r>
      <w:r w:rsidR="008C08DB" w:rsidRPr="00B96EDC">
        <w:rPr>
          <w:rFonts w:ascii="Times New Roman" w:hAnsi="Times New Roman" w:cs="Times New Roman"/>
          <w:color w:val="auto"/>
          <w:sz w:val="24"/>
          <w:szCs w:val="24"/>
          <w:lang w:val="en-GB"/>
        </w:rPr>
        <w:t>Atlas published by the European Parliamentary Forum for Sexual and Reproductive Rights on annual basis evaluated the access to contraceptive in the Slovak Republic in 2019 to only 48,1%.</w:t>
      </w:r>
      <w:r w:rsidR="008C08DB" w:rsidRPr="00B96EDC">
        <w:rPr>
          <w:rStyle w:val="Odkaznapoznmkupodiarou"/>
          <w:rFonts w:ascii="Times New Roman" w:hAnsi="Times New Roman" w:cs="Times New Roman"/>
          <w:color w:val="auto"/>
          <w:sz w:val="24"/>
          <w:szCs w:val="24"/>
          <w:lang w:val="en-GB"/>
        </w:rPr>
        <w:footnoteReference w:id="31"/>
      </w:r>
      <w:r w:rsidR="008C08DB" w:rsidRPr="00B96EDC">
        <w:rPr>
          <w:rFonts w:ascii="Times New Roman" w:hAnsi="Times New Roman" w:cs="Times New Roman"/>
          <w:color w:val="auto"/>
          <w:sz w:val="24"/>
          <w:szCs w:val="24"/>
          <w:lang w:val="en-GB"/>
        </w:rPr>
        <w:t xml:space="preserve">Together with twelve more countries, the Slovak Republic and its policies in the field of sexual and reproductive rights were evaluated as unsatisfactory, especially due to the fact that the contraceptives are not covered by the public health insurance, including </w:t>
      </w:r>
      <w:r w:rsidR="00007A53" w:rsidRPr="00B96EDC">
        <w:rPr>
          <w:rFonts w:ascii="Times New Roman" w:hAnsi="Times New Roman" w:cs="Times New Roman"/>
          <w:color w:val="auto"/>
          <w:sz w:val="24"/>
          <w:szCs w:val="24"/>
          <w:lang w:val="en-GB"/>
        </w:rPr>
        <w:t xml:space="preserve">adolescents or members of vulnerable groups; in the process of prescription of contraceptive various restrictions are being applied (e.g. for prescription of contraception to a person younger than 18 years of age, the consent of a parent or legal guardian is required); all hormonal contraceptives are bound for medical prescription as well as there is lack of information available online, including information in the minority languages. Moreover, the low score awarded by the European Contraception Policy Atlas is also based on the lack of relevant legislation and policies regulating planned parenthood on national level. </w:t>
      </w:r>
    </w:p>
    <w:p w14:paraId="40758531" w14:textId="0090067B" w:rsidR="00007A53" w:rsidRPr="00B96EDC" w:rsidRDefault="00515229" w:rsidP="00515229">
      <w:pPr>
        <w:widowControl w:val="0"/>
        <w:spacing w:after="120"/>
        <w:ind w:right="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22</w:t>
      </w:r>
      <w:r w:rsidR="00007A53" w:rsidRPr="00B96EDC">
        <w:rPr>
          <w:rFonts w:ascii="Times New Roman" w:hAnsi="Times New Roman" w:cs="Times New Roman"/>
          <w:color w:val="auto"/>
          <w:sz w:val="24"/>
          <w:szCs w:val="24"/>
          <w:lang w:val="en-GB"/>
        </w:rPr>
        <w:t>.</w:t>
      </w:r>
      <w:r w:rsidR="00007A53" w:rsidRPr="00B96EDC">
        <w:rPr>
          <w:rFonts w:ascii="Times New Roman" w:hAnsi="Times New Roman" w:cs="Times New Roman"/>
          <w:color w:val="auto"/>
          <w:sz w:val="24"/>
          <w:szCs w:val="24"/>
          <w:lang w:val="en-GB"/>
        </w:rPr>
        <w:tab/>
        <w:t xml:space="preserve">Currently, there is no modern contraceptive method covered by the public health insurance. All kinds of hormonal and non-hormonal contraceptives are fully paid for by the patients. According to the applicable legislation, it is not possible to introduce a drug to the list of categorised medicines that is a drug solely intended to regulate conception (contraceptives) or a drug that is intended to treat erectile dysfunction, </w:t>
      </w:r>
      <w:r w:rsidR="00EF0006" w:rsidRPr="00B96EDC">
        <w:rPr>
          <w:rFonts w:ascii="Times New Roman" w:hAnsi="Times New Roman" w:cs="Times New Roman"/>
          <w:color w:val="auto"/>
          <w:sz w:val="24"/>
          <w:szCs w:val="24"/>
          <w:lang w:val="en-GB"/>
        </w:rPr>
        <w:t>to treat obesity/overweight, or to treat smoking cessation, addiction</w:t>
      </w:r>
      <w:r w:rsidR="00007A53" w:rsidRPr="00B96EDC">
        <w:rPr>
          <w:rFonts w:ascii="Times New Roman" w:hAnsi="Times New Roman" w:cs="Times New Roman"/>
          <w:color w:val="auto"/>
          <w:sz w:val="24"/>
          <w:szCs w:val="24"/>
          <w:lang w:val="en-GB"/>
        </w:rPr>
        <w:t xml:space="preserve"> </w:t>
      </w:r>
      <w:r w:rsidR="00EF0006" w:rsidRPr="00B96EDC">
        <w:rPr>
          <w:rFonts w:ascii="Times New Roman" w:hAnsi="Times New Roman" w:cs="Times New Roman"/>
          <w:color w:val="auto"/>
          <w:sz w:val="24"/>
          <w:szCs w:val="24"/>
          <w:lang w:val="en-GB"/>
        </w:rPr>
        <w:t>to tobacco or smoking</w:t>
      </w:r>
      <w:r w:rsidR="00FD7722" w:rsidRPr="00B96EDC">
        <w:rPr>
          <w:rFonts w:ascii="Times New Roman" w:hAnsi="Times New Roman" w:cs="Times New Roman"/>
          <w:color w:val="auto"/>
          <w:sz w:val="24"/>
          <w:szCs w:val="24"/>
          <w:lang w:val="en-GB"/>
        </w:rPr>
        <w:t>.</w:t>
      </w:r>
      <w:r w:rsidR="00FD7722" w:rsidRPr="00B96EDC">
        <w:rPr>
          <w:rStyle w:val="Odkaznapoznmkupodiarou"/>
          <w:rFonts w:ascii="Times New Roman" w:hAnsi="Times New Roman" w:cs="Times New Roman"/>
          <w:color w:val="auto"/>
          <w:sz w:val="24"/>
          <w:szCs w:val="24"/>
          <w:lang w:val="en-GB"/>
        </w:rPr>
        <w:footnoteReference w:id="32"/>
      </w:r>
      <w:r w:rsidR="00FD7722" w:rsidRPr="00B96EDC">
        <w:rPr>
          <w:rFonts w:ascii="Times New Roman" w:hAnsi="Times New Roman" w:cs="Times New Roman"/>
          <w:color w:val="auto"/>
          <w:sz w:val="24"/>
          <w:szCs w:val="24"/>
          <w:lang w:val="en-GB"/>
        </w:rPr>
        <w:t xml:space="preserve"> According to the Ministry of Health of the Slovak Republic is the justification for elimination of contraceptives from the list of categorised medicines given by missing health indication. Contraceptives are intended to prevent conception that is a physiological condition not a disease. The Ministry of Health of the Slovak Republic argues that it is important to respect the solidarity system of public health insurance.</w:t>
      </w:r>
      <w:r w:rsidR="00FD7722" w:rsidRPr="00B96EDC">
        <w:rPr>
          <w:rStyle w:val="Odkaznapoznmkupodiarou"/>
          <w:rFonts w:ascii="Times New Roman" w:hAnsi="Times New Roman" w:cs="Times New Roman"/>
          <w:color w:val="auto"/>
          <w:sz w:val="24"/>
          <w:szCs w:val="24"/>
          <w:lang w:val="en-GB"/>
        </w:rPr>
        <w:footnoteReference w:id="33"/>
      </w:r>
      <w:r w:rsidR="00FD7722" w:rsidRPr="00B96EDC">
        <w:rPr>
          <w:rFonts w:ascii="Times New Roman" w:hAnsi="Times New Roman" w:cs="Times New Roman"/>
          <w:color w:val="auto"/>
          <w:sz w:val="24"/>
          <w:szCs w:val="24"/>
          <w:lang w:val="en-GB"/>
        </w:rPr>
        <w:t xml:space="preserve"> The aim of the public health insurance system is to ensure the access to efficient, safe, quality and modern medicines for </w:t>
      </w:r>
      <w:r w:rsidR="00FD7722" w:rsidRPr="00B96EDC">
        <w:rPr>
          <w:rFonts w:ascii="Times New Roman" w:hAnsi="Times New Roman" w:cs="Times New Roman"/>
          <w:color w:val="auto"/>
          <w:sz w:val="24"/>
          <w:szCs w:val="24"/>
          <w:lang w:val="en-GB"/>
        </w:rPr>
        <w:lastRenderedPageBreak/>
        <w:t>whole population, including patients suffering from serious conditions and diseases.</w:t>
      </w:r>
      <w:r w:rsidR="00FD7722" w:rsidRPr="00B96EDC">
        <w:rPr>
          <w:rStyle w:val="Odkaznapoznmkupodiarou"/>
          <w:rFonts w:ascii="Times New Roman" w:hAnsi="Times New Roman" w:cs="Times New Roman"/>
          <w:color w:val="auto"/>
          <w:sz w:val="24"/>
          <w:szCs w:val="24"/>
          <w:lang w:val="en-GB"/>
        </w:rPr>
        <w:footnoteReference w:id="34"/>
      </w:r>
      <w:r w:rsidR="00FD7722" w:rsidRPr="00B96EDC">
        <w:rPr>
          <w:rFonts w:ascii="Times New Roman" w:hAnsi="Times New Roman" w:cs="Times New Roman"/>
          <w:color w:val="auto"/>
          <w:sz w:val="24"/>
          <w:szCs w:val="24"/>
          <w:lang w:val="en-GB"/>
        </w:rPr>
        <w:t xml:space="preserve"> The public health insurance system should not be used to replace the social security system.</w:t>
      </w:r>
      <w:r w:rsidR="00FD7722" w:rsidRPr="00B96EDC">
        <w:rPr>
          <w:rStyle w:val="Odkaznapoznmkupodiarou"/>
          <w:rFonts w:ascii="Times New Roman" w:hAnsi="Times New Roman" w:cs="Times New Roman"/>
          <w:color w:val="auto"/>
          <w:sz w:val="24"/>
          <w:szCs w:val="24"/>
          <w:lang w:val="en-GB"/>
        </w:rPr>
        <w:footnoteReference w:id="35"/>
      </w:r>
    </w:p>
    <w:p w14:paraId="0BDE0F39" w14:textId="32106872" w:rsidR="0095085F" w:rsidRPr="00B96EDC" w:rsidRDefault="00515229" w:rsidP="004C3D26">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23</w:t>
      </w:r>
      <w:r w:rsidR="00FD7722" w:rsidRPr="00B96EDC">
        <w:rPr>
          <w:rFonts w:ascii="Times New Roman" w:hAnsi="Times New Roman" w:cs="Times New Roman"/>
          <w:color w:val="auto"/>
          <w:sz w:val="24"/>
          <w:szCs w:val="24"/>
          <w:lang w:val="en-GB"/>
        </w:rPr>
        <w:t>.</w:t>
      </w:r>
      <w:r w:rsidR="00FD7722" w:rsidRPr="00B96EDC">
        <w:rPr>
          <w:rFonts w:ascii="Times New Roman" w:hAnsi="Times New Roman" w:cs="Times New Roman"/>
          <w:color w:val="auto"/>
          <w:sz w:val="24"/>
          <w:szCs w:val="24"/>
          <w:lang w:val="en-GB"/>
        </w:rPr>
        <w:tab/>
        <w:t xml:space="preserve">According to the data collected by the National Centre for Medical Information, </w:t>
      </w:r>
      <w:r w:rsidR="0095085F" w:rsidRPr="00B96EDC">
        <w:rPr>
          <w:rFonts w:ascii="Times New Roman" w:hAnsi="Times New Roman" w:cs="Times New Roman"/>
          <w:color w:val="auto"/>
          <w:sz w:val="24"/>
          <w:szCs w:val="24"/>
          <w:lang w:val="en-GB"/>
        </w:rPr>
        <w:t>190 735 women used contraceptives in 2018 what represents 147,8 women using contraceptives per 1000 women in reproductive age. Number of women using contraceptives is decreasing annually. For comparison, in 2017, it was 157,5 women using contraceptives per 1000 women in reproductive age and in 2016, it was 170 women using contraceptives per 1000 women in reproductive age.</w:t>
      </w:r>
      <w:r w:rsidR="0095085F" w:rsidRPr="00B96EDC">
        <w:rPr>
          <w:rStyle w:val="Odkaznapoznmkupodiarou"/>
          <w:rFonts w:ascii="Times New Roman" w:hAnsi="Times New Roman" w:cs="Times New Roman"/>
          <w:color w:val="auto"/>
          <w:sz w:val="24"/>
          <w:szCs w:val="24"/>
          <w:lang w:val="en-GB"/>
        </w:rPr>
        <w:footnoteReference w:id="36"/>
      </w:r>
      <w:r w:rsidR="0095085F" w:rsidRPr="00B96EDC">
        <w:rPr>
          <w:rFonts w:ascii="Times New Roman" w:hAnsi="Times New Roman" w:cs="Times New Roman"/>
          <w:color w:val="auto"/>
          <w:sz w:val="24"/>
          <w:szCs w:val="24"/>
          <w:lang w:val="en-GB"/>
        </w:rPr>
        <w:t xml:space="preserve"> The decrease might be caused by the lack of relevant information and substantial stigmatisation of using contraceptives, especially hormonal contraceptives (e.g. side effective, harms to the environment) as well as its price. </w:t>
      </w:r>
    </w:p>
    <w:p w14:paraId="3544038C" w14:textId="3AF9F72C" w:rsidR="00FD7722" w:rsidRPr="00B96EDC" w:rsidRDefault="00515229" w:rsidP="004C3D26">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24</w:t>
      </w:r>
      <w:r w:rsidR="0095085F" w:rsidRPr="00B96EDC">
        <w:rPr>
          <w:rFonts w:ascii="Times New Roman" w:hAnsi="Times New Roman" w:cs="Times New Roman"/>
          <w:color w:val="auto"/>
          <w:sz w:val="24"/>
          <w:szCs w:val="24"/>
          <w:lang w:val="en-GB"/>
        </w:rPr>
        <w:t>.</w:t>
      </w:r>
      <w:r w:rsidR="0095085F" w:rsidRPr="00B96EDC">
        <w:rPr>
          <w:rFonts w:ascii="Times New Roman" w:hAnsi="Times New Roman" w:cs="Times New Roman"/>
          <w:color w:val="auto"/>
          <w:sz w:val="24"/>
          <w:szCs w:val="24"/>
          <w:lang w:val="en-GB"/>
        </w:rPr>
        <w:tab/>
        <w:t xml:space="preserve">In 2019, the Ministry of Health of the Slovak Republic did not administer any official source of online information about planned parenthood, contraceptives and sexual health as well as it did not carry out any communication campaign promoting sexual and reproductive health in recent years. Patients usually search for relevant information on online forums, however, such information are not often correct. Other sources of information include information leaflets in the OBGYN outpatient centres </w:t>
      </w:r>
      <w:r w:rsidR="0024240B" w:rsidRPr="00B96EDC">
        <w:rPr>
          <w:rFonts w:ascii="Times New Roman" w:hAnsi="Times New Roman" w:cs="Times New Roman"/>
          <w:color w:val="auto"/>
          <w:sz w:val="24"/>
          <w:szCs w:val="24"/>
          <w:lang w:val="en-GB"/>
        </w:rPr>
        <w:t xml:space="preserve">that are usually produced and distributed by pharmaceutical companies producing individual contraceptives. Even the information acquired at the outpatient centre might not be fully correct or relevant. To a large extent, this information can be distorted by the prejudice, faith, religion or philosophical beliefs of medical staff. This trend can be seen especially if it comes to general practitioners who often do not have information about the newest trends in planned parenthood or newest contraceptive methods. </w:t>
      </w:r>
    </w:p>
    <w:p w14:paraId="73316E99" w14:textId="5B428356" w:rsidR="0024240B" w:rsidRPr="00B96EDC" w:rsidRDefault="00515229" w:rsidP="004C3D26">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25</w:t>
      </w:r>
      <w:r w:rsidR="0024240B" w:rsidRPr="00B96EDC">
        <w:rPr>
          <w:rFonts w:ascii="Times New Roman" w:hAnsi="Times New Roman" w:cs="Times New Roman"/>
          <w:color w:val="auto"/>
          <w:sz w:val="24"/>
          <w:szCs w:val="24"/>
          <w:lang w:val="en-GB"/>
        </w:rPr>
        <w:t>.</w:t>
      </w:r>
      <w:r w:rsidR="0024240B" w:rsidRPr="00B96EDC">
        <w:rPr>
          <w:rFonts w:ascii="Times New Roman" w:hAnsi="Times New Roman" w:cs="Times New Roman"/>
          <w:color w:val="auto"/>
          <w:sz w:val="24"/>
          <w:szCs w:val="24"/>
          <w:lang w:val="en-GB"/>
        </w:rPr>
        <w:tab/>
        <w:t>Specific category are information provided in minority languages (e.g. in Hungarian, Romani etc.) or information that are accessible to women and girls with disabilities (e.g. information accessible for girls and women with visual impairment, mental disabilities etc.).</w:t>
      </w:r>
    </w:p>
    <w:p w14:paraId="7F4983D7" w14:textId="452FEEC9" w:rsidR="0024240B" w:rsidRPr="00B96EDC" w:rsidRDefault="00515229" w:rsidP="004C3D26">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26</w:t>
      </w:r>
      <w:r w:rsidR="0024240B" w:rsidRPr="00B96EDC">
        <w:rPr>
          <w:rFonts w:ascii="Times New Roman" w:hAnsi="Times New Roman" w:cs="Times New Roman"/>
          <w:color w:val="auto"/>
          <w:sz w:val="24"/>
          <w:szCs w:val="24"/>
          <w:lang w:val="en-GB"/>
        </w:rPr>
        <w:t>.</w:t>
      </w:r>
      <w:r w:rsidR="0024240B" w:rsidRPr="00B96EDC">
        <w:rPr>
          <w:rFonts w:ascii="Times New Roman" w:hAnsi="Times New Roman" w:cs="Times New Roman"/>
          <w:color w:val="auto"/>
          <w:sz w:val="24"/>
          <w:szCs w:val="24"/>
          <w:lang w:val="en-GB"/>
        </w:rPr>
        <w:tab/>
      </w:r>
      <w:r w:rsidR="00584F86" w:rsidRPr="00B96EDC">
        <w:rPr>
          <w:rFonts w:ascii="Times New Roman" w:hAnsi="Times New Roman" w:cs="Times New Roman"/>
          <w:color w:val="auto"/>
          <w:sz w:val="24"/>
          <w:szCs w:val="24"/>
          <w:lang w:val="en-GB"/>
        </w:rPr>
        <w:t>Exclusion of hormonal contraceptives and intrauterine device from the coverage of the public health insurance has been a serious obstacle to planned parenthood, especially to young girls and women from marginalised Roma communities or from socially disadvantaged background (e.g. unemployed). According to official statistics, more than 90,5% of women registered in the OBGYN outpatient centres in the Slovak Republic do not fulfil their need in respect to planned parenthood, that means they do not use any modern form of contraceptive, whether hormonal or not.</w:t>
      </w:r>
    </w:p>
    <w:p w14:paraId="5AE865CA" w14:textId="22923066" w:rsidR="00584F86" w:rsidRPr="00B96EDC" w:rsidRDefault="00584F86" w:rsidP="004C3D26">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27.</w:t>
      </w:r>
      <w:r w:rsidRPr="00B96EDC">
        <w:rPr>
          <w:rFonts w:ascii="Times New Roman" w:hAnsi="Times New Roman" w:cs="Times New Roman"/>
          <w:color w:val="auto"/>
          <w:sz w:val="24"/>
          <w:szCs w:val="24"/>
          <w:lang w:val="en-GB"/>
        </w:rPr>
        <w:tab/>
        <w:t xml:space="preserve">In 2019, the average cost of hormonal contraception varied from 10 EUR to 15 EUR per month in the Slovak Republic, what represents annual cost of 120 EUR to 180 EUR. The Centre </w:t>
      </w:r>
      <w:r w:rsidRPr="00B96EDC">
        <w:rPr>
          <w:rFonts w:ascii="Times New Roman" w:hAnsi="Times New Roman" w:cs="Times New Roman"/>
          <w:color w:val="auto"/>
          <w:sz w:val="24"/>
          <w:szCs w:val="24"/>
          <w:lang w:val="en-GB"/>
        </w:rPr>
        <w:lastRenderedPageBreak/>
        <w:t xml:space="preserve">believes that the current cost of </w:t>
      </w:r>
      <w:r w:rsidR="00A56066" w:rsidRPr="00B96EDC">
        <w:rPr>
          <w:rFonts w:ascii="Times New Roman" w:hAnsi="Times New Roman" w:cs="Times New Roman"/>
          <w:color w:val="auto"/>
          <w:sz w:val="24"/>
          <w:szCs w:val="24"/>
          <w:lang w:val="en-GB"/>
        </w:rPr>
        <w:t>hormonal contraception is a serious obstacle to planned parenthood, while the Ministry of Health of the Slovak Republic argues that there are also cheaper alternatives of hormonal contraception, such as drug Regulon or Tri-Regol. However, it should be pointed out that these drugs were introduced to the Slovak market in 1999 and 2001 and</w:t>
      </w:r>
      <w:r w:rsidR="00C80D36" w:rsidRPr="00B96EDC">
        <w:rPr>
          <w:rFonts w:ascii="Times New Roman" w:hAnsi="Times New Roman" w:cs="Times New Roman"/>
          <w:color w:val="auto"/>
          <w:sz w:val="24"/>
          <w:szCs w:val="24"/>
          <w:lang w:val="en-GB"/>
        </w:rPr>
        <w:t xml:space="preserve"> can be considered as fairly outdated. The Slovak Republic is also bound by the International Covenant on Economic, Social and Cultural Rights that expressly states that everyone shall have right to access the outcomes of the scientific progress (Art. 15), that means to have access to modern drugs, medicines and medical devices, including hormonal contraception. </w:t>
      </w:r>
    </w:p>
    <w:p w14:paraId="5D57778B" w14:textId="79CCFEA6" w:rsidR="00C80D36" w:rsidRPr="00B96EDC" w:rsidRDefault="00C80D36" w:rsidP="004C3D26">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28. Apart from the cost of the hormonal contraception, the restrictions to prescription also represent an </w:t>
      </w:r>
      <w:r w:rsidR="00861D7F" w:rsidRPr="00B96EDC">
        <w:rPr>
          <w:rFonts w:ascii="Times New Roman" w:hAnsi="Times New Roman" w:cs="Times New Roman"/>
          <w:color w:val="auto"/>
          <w:sz w:val="24"/>
          <w:szCs w:val="24"/>
          <w:lang w:val="en-GB"/>
        </w:rPr>
        <w:t>obstacle to planned parenthood. Such a restriction is a mandatory informed consent of a parent or legal guardian of girls younger than 18 years of age as well as taking age of the patient into consideration when prescribing hormonal contraception. Currently applicable laws require that the person who receives healthcare or, if a person is not eligible to give a consent, a legal guardian are obliged to give a proven consent based on a clarification and edification given by a physician – an informed consent. According to the Act No. 40/1960 Coll. Civil Code, as amended, a person acquires full legal capacity by coming of age at 18 years of age. According to the Ministry of Health of the Slovak Republic, persons younger than 18 years of age have legal capacity that reflects their maturity and development, however, they are not able to give informed consent.</w:t>
      </w:r>
      <w:r w:rsidR="00861D7F" w:rsidRPr="00B96EDC">
        <w:rPr>
          <w:rStyle w:val="Odkaznapoznmkupodiarou"/>
          <w:rFonts w:ascii="Times New Roman" w:hAnsi="Times New Roman" w:cs="Times New Roman"/>
          <w:color w:val="auto"/>
          <w:sz w:val="24"/>
          <w:szCs w:val="24"/>
          <w:lang w:val="en-GB"/>
        </w:rPr>
        <w:footnoteReference w:id="37"/>
      </w:r>
    </w:p>
    <w:p w14:paraId="581D8605" w14:textId="21A5DD19" w:rsidR="0095085F" w:rsidRPr="00B96EDC" w:rsidRDefault="00266472"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29.</w:t>
      </w:r>
      <w:r w:rsidRPr="00B96EDC">
        <w:rPr>
          <w:rFonts w:ascii="Times New Roman" w:hAnsi="Times New Roman" w:cs="Times New Roman"/>
          <w:color w:val="auto"/>
          <w:sz w:val="24"/>
          <w:szCs w:val="24"/>
          <w:lang w:val="en-GB"/>
        </w:rPr>
        <w:tab/>
        <w:t>Girls younger than18 years of age are required to obtain an informed consent of their parent or legal guardian to be prescribed hormonal contraception. The only exemption are girls who older than 16 years of age and got married. Lack of legal capacity to give an informed consent is a serious obstacle to the access to contraception. The attitude of parents or legal guardians to using contraception can be impacted to large extent by fear from side effects, misinformation, anti-campaigns as well as by their prejudice, faith, religion or philosophical beliefs. Lack of trust, shame and fear of sharing their needs in respect to planned parenthood with parents or legal guardians</w:t>
      </w:r>
      <w:r w:rsidR="000B093D" w:rsidRPr="00B96EDC">
        <w:rPr>
          <w:rFonts w:ascii="Times New Roman" w:hAnsi="Times New Roman" w:cs="Times New Roman"/>
          <w:color w:val="auto"/>
          <w:sz w:val="24"/>
          <w:szCs w:val="24"/>
          <w:lang w:val="en-GB"/>
        </w:rPr>
        <w:t xml:space="preserve"> as well as the sexuality and planned parenthood being a taboo in Slovak society</w:t>
      </w:r>
      <w:r w:rsidRPr="00B96EDC">
        <w:rPr>
          <w:rFonts w:ascii="Times New Roman" w:hAnsi="Times New Roman" w:cs="Times New Roman"/>
          <w:color w:val="auto"/>
          <w:sz w:val="24"/>
          <w:szCs w:val="24"/>
          <w:lang w:val="en-GB"/>
        </w:rPr>
        <w:t xml:space="preserve"> can also play a significant role</w:t>
      </w:r>
      <w:r w:rsidR="000B093D" w:rsidRPr="00B96EDC">
        <w:rPr>
          <w:rFonts w:ascii="Times New Roman" w:hAnsi="Times New Roman" w:cs="Times New Roman"/>
          <w:color w:val="auto"/>
          <w:sz w:val="24"/>
          <w:szCs w:val="24"/>
          <w:lang w:val="en-GB"/>
        </w:rPr>
        <w:t xml:space="preserve">. </w:t>
      </w:r>
    </w:p>
    <w:p w14:paraId="731FD9C0" w14:textId="65A10D61" w:rsidR="000B093D" w:rsidRPr="00B96EDC" w:rsidRDefault="000B093D"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30.</w:t>
      </w:r>
      <w:r w:rsidRPr="00B96EDC">
        <w:rPr>
          <w:rFonts w:ascii="Times New Roman" w:hAnsi="Times New Roman" w:cs="Times New Roman"/>
          <w:color w:val="auto"/>
          <w:sz w:val="24"/>
          <w:szCs w:val="24"/>
          <w:lang w:val="en-GB"/>
        </w:rPr>
        <w:tab/>
      </w:r>
      <w:r w:rsidR="003F1CAB" w:rsidRPr="00B96EDC">
        <w:rPr>
          <w:rFonts w:ascii="Times New Roman" w:hAnsi="Times New Roman" w:cs="Times New Roman"/>
          <w:color w:val="auto"/>
          <w:sz w:val="24"/>
          <w:szCs w:val="24"/>
          <w:lang w:val="en-GB"/>
        </w:rPr>
        <w:t xml:space="preserve">Another obstacle can be age of a patient, especially in respect to unfounded considerations of the age of patient by physician. This obstacle can be faced by all girls younger than 18 years of age, even if they acquired informed consent of the parent or legal guardian. Currently, there is no official clinical standard that would impose age restrictions on prescription of hormonal contraception, e. g. restricted prescription of hormonal contraception to girls older than 16 years of age. When prescribing hormonal contraception, physicians should follow summary of product characteristics. However, it is not unusual that physicians refuse to prescribe hormonal contraception to girls younger than 16 years of age. Usually, physicians argue that the body of a </w:t>
      </w:r>
      <w:r w:rsidR="003F1CAB" w:rsidRPr="00B96EDC">
        <w:rPr>
          <w:rFonts w:ascii="Times New Roman" w:hAnsi="Times New Roman" w:cs="Times New Roman"/>
          <w:color w:val="auto"/>
          <w:sz w:val="24"/>
          <w:szCs w:val="24"/>
          <w:lang w:val="en-GB"/>
        </w:rPr>
        <w:lastRenderedPageBreak/>
        <w:t>girl younger than 16 years of age is still developing quote Section 201 of the Act 300/2005 Coll. Criminal Code, as amended: “</w:t>
      </w:r>
      <w:r w:rsidR="003F1CAB" w:rsidRPr="00B96EDC">
        <w:rPr>
          <w:rFonts w:ascii="Times New Roman" w:hAnsi="Times New Roman" w:cs="Times New Roman"/>
          <w:i/>
          <w:color w:val="auto"/>
          <w:sz w:val="24"/>
          <w:szCs w:val="24"/>
          <w:lang w:val="en-GB"/>
        </w:rPr>
        <w:t>Any person who has sexual intercourse with a person under fifteen years of age, or who subjects such person to other sexual abuse, shall be liable to a term of imprisonment of three to ten years</w:t>
      </w:r>
      <w:r w:rsidR="003F1CAB" w:rsidRPr="00B96EDC">
        <w:rPr>
          <w:rFonts w:ascii="Times New Roman" w:hAnsi="Times New Roman" w:cs="Times New Roman"/>
          <w:color w:val="auto"/>
          <w:sz w:val="24"/>
          <w:szCs w:val="24"/>
          <w:lang w:val="en-GB"/>
        </w:rPr>
        <w:t>.”</w:t>
      </w:r>
      <w:r w:rsidR="00FC747B" w:rsidRPr="00B96EDC">
        <w:rPr>
          <w:rFonts w:ascii="Times New Roman" w:hAnsi="Times New Roman" w:cs="Times New Roman"/>
          <w:color w:val="auto"/>
          <w:sz w:val="24"/>
          <w:szCs w:val="24"/>
          <w:lang w:val="en-GB"/>
        </w:rPr>
        <w:t xml:space="preserve"> Many physicians are of an opinion that persons younger than 15 years of age are forbidden from having a sexual intercourse, therefore there is no reason for prescription of hormonal contraception to girls in this age group.  However, according to the summary of product characteristics of the majority hormonal contraceptives, taking a contraception is indicated after menarche – the first menstruation. First menstruation indicates sexual adolescence and the average age of girls having their first period fluctuates between 9 to 18 years of age (the European age median fluctuating between 12,6 years to 15,2 years).</w:t>
      </w:r>
      <w:r w:rsidR="00FC747B" w:rsidRPr="00B96EDC">
        <w:rPr>
          <w:rStyle w:val="Odkaznapoznmkupodiarou"/>
          <w:rFonts w:ascii="Times New Roman" w:hAnsi="Times New Roman" w:cs="Times New Roman"/>
          <w:color w:val="auto"/>
          <w:sz w:val="24"/>
          <w:szCs w:val="24"/>
          <w:lang w:val="en-GB"/>
        </w:rPr>
        <w:footnoteReference w:id="38"/>
      </w:r>
      <w:r w:rsidR="00FC747B" w:rsidRPr="00B96EDC">
        <w:rPr>
          <w:rFonts w:ascii="Times New Roman" w:hAnsi="Times New Roman" w:cs="Times New Roman"/>
          <w:color w:val="auto"/>
          <w:sz w:val="24"/>
          <w:szCs w:val="24"/>
          <w:lang w:val="en-GB"/>
        </w:rPr>
        <w:t xml:space="preserve"> </w:t>
      </w:r>
    </w:p>
    <w:p w14:paraId="023EEF4C" w14:textId="105BCE74" w:rsidR="006476EC" w:rsidRPr="00B96EDC" w:rsidRDefault="00FC747B"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31.</w:t>
      </w:r>
      <w:r w:rsidRPr="00B96EDC">
        <w:rPr>
          <w:rFonts w:ascii="Times New Roman" w:hAnsi="Times New Roman" w:cs="Times New Roman"/>
          <w:color w:val="auto"/>
          <w:sz w:val="24"/>
          <w:szCs w:val="24"/>
          <w:lang w:val="en-GB"/>
        </w:rPr>
        <w:tab/>
      </w:r>
      <w:r w:rsidR="006476EC" w:rsidRPr="00B96EDC">
        <w:rPr>
          <w:rFonts w:ascii="Times New Roman" w:hAnsi="Times New Roman" w:cs="Times New Roman"/>
          <w:color w:val="auto"/>
          <w:sz w:val="24"/>
          <w:szCs w:val="24"/>
          <w:lang w:val="en-GB"/>
        </w:rPr>
        <w:t>In the Slovak Republic, the abortion is regulated by two main laws - the Act 73/1986 Coll. on Abortions, as amended (“Abortion Act”) and the Decree of the Ministry of</w:t>
      </w:r>
      <w:r w:rsidR="005D72DB" w:rsidRPr="00B96EDC">
        <w:rPr>
          <w:rFonts w:ascii="Times New Roman" w:hAnsi="Times New Roman" w:cs="Times New Roman"/>
          <w:color w:val="auto"/>
          <w:sz w:val="24"/>
          <w:szCs w:val="24"/>
          <w:lang w:val="en-GB"/>
        </w:rPr>
        <w:t xml:space="preserve"> Health of the Slovak Republic N</w:t>
      </w:r>
      <w:r w:rsidR="006476EC" w:rsidRPr="00B96EDC">
        <w:rPr>
          <w:rFonts w:ascii="Times New Roman" w:hAnsi="Times New Roman" w:cs="Times New Roman"/>
          <w:color w:val="auto"/>
          <w:sz w:val="24"/>
          <w:szCs w:val="24"/>
          <w:lang w:val="en-GB"/>
        </w:rPr>
        <w:t xml:space="preserve">o. 74/1986 Coll. that executes the Abortion Act (“Abortion Decree”) as well as in other acts. The abortion is carried under two general regimes. First regime is defined by Section 4 of the Abortion Act – abortion can be conducted on a women based on her written request if the pregnancy did not exceed 12 weeks and there are no health contraindications. Second regime is defined by Section 5 of the Abortion Act – abortion can be conducted on a women based on her written request or with her consent in case her life or health or healthy development of a </w:t>
      </w:r>
      <w:r w:rsidR="00B96EDC" w:rsidRPr="00B96EDC">
        <w:rPr>
          <w:rFonts w:ascii="Times New Roman" w:hAnsi="Times New Roman" w:cs="Times New Roman"/>
          <w:color w:val="auto"/>
          <w:sz w:val="24"/>
          <w:szCs w:val="24"/>
          <w:lang w:val="en-GB"/>
        </w:rPr>
        <w:t>foetus</w:t>
      </w:r>
      <w:r w:rsidR="006476EC" w:rsidRPr="00B96EDC">
        <w:rPr>
          <w:rFonts w:ascii="Times New Roman" w:hAnsi="Times New Roman" w:cs="Times New Roman"/>
          <w:color w:val="auto"/>
          <w:sz w:val="24"/>
          <w:szCs w:val="24"/>
          <w:lang w:val="en-GB"/>
        </w:rPr>
        <w:t xml:space="preserve"> is engendered or due to genetically defective </w:t>
      </w:r>
      <w:r w:rsidR="00B96EDC" w:rsidRPr="00B96EDC">
        <w:rPr>
          <w:rFonts w:ascii="Times New Roman" w:hAnsi="Times New Roman" w:cs="Times New Roman"/>
          <w:color w:val="auto"/>
          <w:sz w:val="24"/>
          <w:szCs w:val="24"/>
          <w:lang w:val="en-GB"/>
        </w:rPr>
        <w:t>foetus</w:t>
      </w:r>
      <w:r w:rsidR="006476EC" w:rsidRPr="00B96EDC">
        <w:rPr>
          <w:rFonts w:ascii="Times New Roman" w:hAnsi="Times New Roman" w:cs="Times New Roman"/>
          <w:color w:val="auto"/>
          <w:sz w:val="24"/>
          <w:szCs w:val="24"/>
          <w:lang w:val="en-GB"/>
        </w:rPr>
        <w:t xml:space="preserve"> development, without any time restrictions.</w:t>
      </w:r>
    </w:p>
    <w:p w14:paraId="31C92EBB" w14:textId="160A9A86" w:rsidR="006476EC" w:rsidRPr="00B96EDC" w:rsidRDefault="006476EC"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32.</w:t>
      </w:r>
      <w:r w:rsidRPr="00B96EDC">
        <w:rPr>
          <w:rFonts w:ascii="Times New Roman" w:hAnsi="Times New Roman" w:cs="Times New Roman"/>
          <w:color w:val="auto"/>
          <w:sz w:val="24"/>
          <w:szCs w:val="24"/>
          <w:lang w:val="en-GB"/>
        </w:rPr>
        <w:tab/>
        <w:t xml:space="preserve">Currently, there are several serious legal discrepancies in the abortion regulation that might impose challenges to the access to safe abortion. These legal discrepancies include regulation of obtaining informed consent of under aged girls and discrimination of some groups of girls and women. Moreover, discrepancies can be also found in the application of relevant laws regulating access to abortion what might have serious impact </w:t>
      </w:r>
      <w:r w:rsidR="00D33ED7" w:rsidRPr="00B96EDC">
        <w:rPr>
          <w:rFonts w:ascii="Times New Roman" w:hAnsi="Times New Roman" w:cs="Times New Roman"/>
          <w:color w:val="auto"/>
          <w:sz w:val="24"/>
          <w:szCs w:val="24"/>
          <w:lang w:val="en-GB"/>
        </w:rPr>
        <w:t xml:space="preserve">on the access to safe abortion on regional level. </w:t>
      </w:r>
    </w:p>
    <w:p w14:paraId="2FD6D4AE" w14:textId="15E018B3" w:rsidR="00D33ED7" w:rsidRPr="00B96EDC" w:rsidRDefault="00D33ED7"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33.</w:t>
      </w:r>
      <w:r w:rsidRPr="00B96EDC">
        <w:rPr>
          <w:rFonts w:ascii="Times New Roman" w:hAnsi="Times New Roman" w:cs="Times New Roman"/>
          <w:color w:val="auto"/>
          <w:sz w:val="24"/>
          <w:szCs w:val="24"/>
          <w:lang w:val="en-GB"/>
        </w:rPr>
        <w:tab/>
        <w:t>There are two legal regimes governing the informed consent to abortion obtained from girls younger than 18 years of age. These regimes are completely different and are not mutually reinforcing. First regime is regulated by Abortion Act and the second regime is governed by the Act No. 576/2004 Coll. on Healthcare and Services Related to Healthcare and on Changes and Amendments of Certain Laws, as amended (“Healthcare Act”). It is important to note that the Abortion Act entered into force in 1987 and does not recognize the institute of informed consent as included in the Healthcare Act. However, when interpreting and applying laws, “</w:t>
      </w:r>
      <w:r w:rsidRPr="00B96EDC">
        <w:rPr>
          <w:rFonts w:ascii="Times New Roman" w:hAnsi="Times New Roman" w:cs="Times New Roman"/>
          <w:i/>
          <w:color w:val="auto"/>
          <w:sz w:val="24"/>
          <w:szCs w:val="24"/>
          <w:lang w:val="en-GB"/>
        </w:rPr>
        <w:t>it is not possible to omit their purpose and meaning that are not included solely in words and sentences of the law but also in the fundamental principles of rule of law</w:t>
      </w:r>
      <w:r w:rsidRPr="00B96EDC">
        <w:rPr>
          <w:rFonts w:ascii="Times New Roman" w:hAnsi="Times New Roman" w:cs="Times New Roman"/>
          <w:color w:val="auto"/>
          <w:sz w:val="24"/>
          <w:szCs w:val="24"/>
          <w:lang w:val="en-GB"/>
        </w:rPr>
        <w:t>”</w:t>
      </w:r>
      <w:r w:rsidRPr="00B96EDC">
        <w:rPr>
          <w:rStyle w:val="Odkaznapoznmkupodiarou"/>
          <w:rFonts w:ascii="Times New Roman" w:hAnsi="Times New Roman" w:cs="Times New Roman"/>
          <w:color w:val="auto"/>
          <w:sz w:val="24"/>
          <w:szCs w:val="24"/>
          <w:lang w:val="en-GB"/>
        </w:rPr>
        <w:footnoteReference w:id="39"/>
      </w:r>
      <w:r w:rsidR="00E65DFB" w:rsidRPr="00B96EDC">
        <w:rPr>
          <w:rFonts w:ascii="Times New Roman" w:hAnsi="Times New Roman" w:cs="Times New Roman"/>
          <w:color w:val="auto"/>
          <w:sz w:val="24"/>
          <w:szCs w:val="24"/>
          <w:lang w:val="en-GB"/>
        </w:rPr>
        <w:t xml:space="preserve"> Taking into account the purpose of the consent regulated by the Abortion Act, it can be stated that the purpose of both consents – consent pursuant to Section 6 of the Abortion Act as well as the informed consent pursuant to Section 6 of the Healthcare Act has the same purpose – to act on a pregnant women to consider </w:t>
      </w:r>
      <w:r w:rsidR="00E65DFB" w:rsidRPr="00B96EDC">
        <w:rPr>
          <w:rFonts w:ascii="Times New Roman" w:hAnsi="Times New Roman" w:cs="Times New Roman"/>
          <w:color w:val="auto"/>
          <w:sz w:val="24"/>
          <w:szCs w:val="24"/>
          <w:lang w:val="en-GB"/>
        </w:rPr>
        <w:lastRenderedPageBreak/>
        <w:t xml:space="preserve">abandonment of the idea to undergo abortion, aiming at protecting health of the respective woman and the life of unborn child. </w:t>
      </w:r>
    </w:p>
    <w:p w14:paraId="51203DE7" w14:textId="28FEF224" w:rsidR="00E65DFB" w:rsidRPr="00B96EDC" w:rsidRDefault="00E65DFB" w:rsidP="00266472">
      <w:pPr>
        <w:spacing w:after="120"/>
        <w:jc w:val="both"/>
        <w:rPr>
          <w:rFonts w:ascii="Times New Roman" w:hAnsi="Times New Roman" w:cs="Times New Roman"/>
          <w:i/>
          <w:color w:val="auto"/>
          <w:sz w:val="24"/>
          <w:szCs w:val="24"/>
          <w:lang w:val="en-GB"/>
        </w:rPr>
      </w:pPr>
      <w:r w:rsidRPr="00B96EDC">
        <w:rPr>
          <w:rFonts w:ascii="Times New Roman" w:hAnsi="Times New Roman" w:cs="Times New Roman"/>
          <w:b/>
          <w:color w:val="auto"/>
          <w:sz w:val="24"/>
          <w:szCs w:val="24"/>
          <w:lang w:val="en-GB"/>
        </w:rPr>
        <w:t>Table No. 6:</w:t>
      </w:r>
      <w:r w:rsidRPr="00B96EDC">
        <w:rPr>
          <w:rFonts w:ascii="Times New Roman" w:hAnsi="Times New Roman" w:cs="Times New Roman"/>
          <w:color w:val="auto"/>
          <w:sz w:val="24"/>
          <w:szCs w:val="24"/>
          <w:lang w:val="en-GB"/>
        </w:rPr>
        <w:t xml:space="preserve"> </w:t>
      </w:r>
      <w:r w:rsidRPr="00B96EDC">
        <w:rPr>
          <w:rFonts w:ascii="Times New Roman" w:hAnsi="Times New Roman" w:cs="Times New Roman"/>
          <w:i/>
          <w:color w:val="auto"/>
          <w:sz w:val="24"/>
          <w:szCs w:val="24"/>
          <w:lang w:val="en-GB"/>
        </w:rPr>
        <w:t>Overview of legal regimes regulating informed consent to abortion</w:t>
      </w:r>
    </w:p>
    <w:tbl>
      <w:tblPr>
        <w:tblStyle w:val="Mriekatabuky"/>
        <w:tblW w:w="0" w:type="auto"/>
        <w:tblLook w:val="04A0" w:firstRow="1" w:lastRow="0" w:firstColumn="1" w:lastColumn="0" w:noHBand="0" w:noVBand="1"/>
      </w:tblPr>
      <w:tblGrid>
        <w:gridCol w:w="3115"/>
        <w:gridCol w:w="3115"/>
        <w:gridCol w:w="3116"/>
      </w:tblGrid>
      <w:tr w:rsidR="00E65DFB" w:rsidRPr="00B96EDC" w14:paraId="7E59FC47" w14:textId="77777777" w:rsidTr="00E65DFB">
        <w:tc>
          <w:tcPr>
            <w:tcW w:w="3115" w:type="dxa"/>
          </w:tcPr>
          <w:p w14:paraId="3CCF0440" w14:textId="77777777" w:rsidR="00E65DFB" w:rsidRPr="00B96EDC" w:rsidRDefault="00E65DFB" w:rsidP="00266472">
            <w:pPr>
              <w:spacing w:after="120"/>
              <w:jc w:val="both"/>
              <w:rPr>
                <w:rFonts w:ascii="Times New Roman" w:hAnsi="Times New Roman" w:cs="Times New Roman"/>
                <w:color w:val="auto"/>
                <w:sz w:val="24"/>
                <w:szCs w:val="24"/>
                <w:lang w:val="en-GB"/>
              </w:rPr>
            </w:pPr>
          </w:p>
        </w:tc>
        <w:tc>
          <w:tcPr>
            <w:tcW w:w="3115" w:type="dxa"/>
          </w:tcPr>
          <w:p w14:paraId="6CE2F0B4" w14:textId="7F8BF98F" w:rsidR="00E65DFB" w:rsidRPr="00B96EDC" w:rsidRDefault="00E65DFB" w:rsidP="00266472">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Abortion Act</w:t>
            </w:r>
          </w:p>
        </w:tc>
        <w:tc>
          <w:tcPr>
            <w:tcW w:w="3116" w:type="dxa"/>
          </w:tcPr>
          <w:p w14:paraId="593917FC" w14:textId="5BFED9B6" w:rsidR="00E65DFB" w:rsidRPr="00B96EDC" w:rsidRDefault="00E65DFB" w:rsidP="00266472">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Healthcare Act</w:t>
            </w:r>
          </w:p>
        </w:tc>
      </w:tr>
      <w:tr w:rsidR="00E65DFB" w:rsidRPr="00B96EDC" w14:paraId="35D07F7E" w14:textId="77777777" w:rsidTr="00E65DFB">
        <w:tc>
          <w:tcPr>
            <w:tcW w:w="3115" w:type="dxa"/>
          </w:tcPr>
          <w:p w14:paraId="5D3038E9" w14:textId="6E5013A9" w:rsidR="00E65DFB" w:rsidRPr="00B96EDC" w:rsidRDefault="00E65DFB" w:rsidP="00266472">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Girls younger than 16 years of age.</w:t>
            </w:r>
          </w:p>
        </w:tc>
        <w:tc>
          <w:tcPr>
            <w:tcW w:w="3115" w:type="dxa"/>
          </w:tcPr>
          <w:p w14:paraId="1E042C12" w14:textId="3A673F07" w:rsidR="00E65DFB" w:rsidRPr="00B96EDC" w:rsidRDefault="00E65DFB"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The abortion can be carried out on a woman who is not older than 16 years of age pursuant to Section 4 of the Abortion Act only with the consent of a parent or legal guardian.</w:t>
            </w:r>
          </w:p>
        </w:tc>
        <w:tc>
          <w:tcPr>
            <w:tcW w:w="3116" w:type="dxa"/>
            <w:vMerge w:val="restart"/>
          </w:tcPr>
          <w:p w14:paraId="211B77D2" w14:textId="394CC622" w:rsidR="00E65DFB" w:rsidRPr="00B96EDC" w:rsidRDefault="00E65DFB"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In case, the person has no full legal capacity,</w:t>
            </w:r>
            <w:r w:rsidR="00084F8B" w:rsidRPr="00B96EDC">
              <w:rPr>
                <w:rFonts w:ascii="Times New Roman" w:hAnsi="Times New Roman" w:cs="Times New Roman"/>
                <w:color w:val="auto"/>
                <w:sz w:val="24"/>
                <w:szCs w:val="24"/>
                <w:lang w:val="en-GB"/>
              </w:rPr>
              <w:t xml:space="preserve"> it is required to obtain the informed consent of a woman as well as the informed consent of her parent or legal guardian to carry out the abortion.</w:t>
            </w:r>
          </w:p>
        </w:tc>
      </w:tr>
      <w:tr w:rsidR="00E65DFB" w:rsidRPr="00B96EDC" w14:paraId="0EA6B07C" w14:textId="77777777" w:rsidTr="00E65DFB">
        <w:tc>
          <w:tcPr>
            <w:tcW w:w="3115" w:type="dxa"/>
          </w:tcPr>
          <w:p w14:paraId="1AB7D433" w14:textId="751047EF" w:rsidR="00E65DFB" w:rsidRPr="00B96EDC" w:rsidRDefault="00E65DFB" w:rsidP="00266472">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Girls older than 16 years of age and younger than 18 years of age.</w:t>
            </w:r>
          </w:p>
        </w:tc>
        <w:tc>
          <w:tcPr>
            <w:tcW w:w="3115" w:type="dxa"/>
          </w:tcPr>
          <w:p w14:paraId="195470B0" w14:textId="6D813530" w:rsidR="00E65DFB" w:rsidRPr="00B96EDC" w:rsidRDefault="00E65DFB"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 xml:space="preserve">If the abortion was carried out on a woman from 16 years to 18 years of age, the healthcare provider will notify a parent or legal guardian of the respective woman. </w:t>
            </w:r>
          </w:p>
        </w:tc>
        <w:tc>
          <w:tcPr>
            <w:tcW w:w="3116" w:type="dxa"/>
            <w:vMerge/>
          </w:tcPr>
          <w:p w14:paraId="5773C057" w14:textId="77777777" w:rsidR="00E65DFB" w:rsidRPr="00B96EDC" w:rsidRDefault="00E65DFB" w:rsidP="00266472">
            <w:pPr>
              <w:spacing w:after="120"/>
              <w:jc w:val="both"/>
              <w:rPr>
                <w:rFonts w:ascii="Times New Roman" w:hAnsi="Times New Roman" w:cs="Times New Roman"/>
                <w:color w:val="auto"/>
                <w:sz w:val="24"/>
                <w:szCs w:val="24"/>
                <w:lang w:val="en-GB"/>
              </w:rPr>
            </w:pPr>
          </w:p>
        </w:tc>
      </w:tr>
    </w:tbl>
    <w:p w14:paraId="579C26BE" w14:textId="4F53D796" w:rsidR="00E65DFB" w:rsidRPr="00B96EDC" w:rsidRDefault="00E65DFB" w:rsidP="00266472">
      <w:pPr>
        <w:spacing w:after="120"/>
        <w:jc w:val="both"/>
        <w:rPr>
          <w:rFonts w:ascii="Times New Roman" w:hAnsi="Times New Roman" w:cs="Times New Roman"/>
          <w:color w:val="auto"/>
          <w:sz w:val="24"/>
          <w:szCs w:val="24"/>
          <w:lang w:val="en-GB"/>
        </w:rPr>
      </w:pPr>
    </w:p>
    <w:p w14:paraId="5E826969" w14:textId="24112924" w:rsidR="00084F8B" w:rsidRPr="00B96EDC" w:rsidRDefault="00084F8B"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34.</w:t>
      </w:r>
      <w:r w:rsidRPr="00B96EDC">
        <w:rPr>
          <w:rFonts w:ascii="Times New Roman" w:hAnsi="Times New Roman" w:cs="Times New Roman"/>
          <w:color w:val="auto"/>
          <w:sz w:val="24"/>
          <w:szCs w:val="24"/>
          <w:lang w:val="en-GB"/>
        </w:rPr>
        <w:tab/>
        <w:t>It can be clearly seen that due to these different legal regimes, there is a conflict of laws. Such conflict of law can cause legal uncertainty of healthcare providers, physicians and last but not least the girls who would like to undergo abortion and their parents, resp. their legal guardians. While Healthcare Act requires the parents, resp. legal guardians to give the informed consent to abortion carried out on a woman younger than 18 years of age, the Abortion Act is less strict and for girls older than 16 years of age but younger than 18 years of age requires the healthcare facility only to notify parents, resp. legal guardians. It is up to individual healthcare provider or physician which regime will apply. It is experience of the Centre that majority of healthcare providers and physicians are applying the regime regulated by the Healthcare A</w:t>
      </w:r>
      <w:r w:rsidR="00A0363E" w:rsidRPr="00B96EDC">
        <w:rPr>
          <w:rFonts w:ascii="Times New Roman" w:hAnsi="Times New Roman" w:cs="Times New Roman"/>
          <w:color w:val="auto"/>
          <w:sz w:val="24"/>
          <w:szCs w:val="24"/>
          <w:lang w:val="en-GB"/>
        </w:rPr>
        <w:t xml:space="preserve">ct in accordance with the legal principle – </w:t>
      </w:r>
      <w:r w:rsidR="00A0363E" w:rsidRPr="00B96EDC">
        <w:rPr>
          <w:rFonts w:ascii="Times New Roman" w:hAnsi="Times New Roman" w:cs="Times New Roman"/>
          <w:i/>
          <w:color w:val="auto"/>
          <w:sz w:val="24"/>
          <w:szCs w:val="24"/>
          <w:lang w:val="en-GB"/>
        </w:rPr>
        <w:t>lex posterior derogate legi priori</w:t>
      </w:r>
      <w:r w:rsidR="00A0363E" w:rsidRPr="00B96EDC">
        <w:rPr>
          <w:rFonts w:ascii="Times New Roman" w:hAnsi="Times New Roman" w:cs="Times New Roman"/>
          <w:color w:val="auto"/>
          <w:sz w:val="24"/>
          <w:szCs w:val="24"/>
          <w:lang w:val="en-GB"/>
        </w:rPr>
        <w:t>.</w:t>
      </w:r>
    </w:p>
    <w:p w14:paraId="0344145A" w14:textId="123DD3C1" w:rsidR="00011CC6" w:rsidRPr="00B96EDC" w:rsidRDefault="00A0363E"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35.</w:t>
      </w:r>
      <w:r w:rsidRPr="00B96EDC">
        <w:rPr>
          <w:rFonts w:ascii="Times New Roman" w:hAnsi="Times New Roman" w:cs="Times New Roman"/>
          <w:color w:val="auto"/>
          <w:sz w:val="24"/>
          <w:szCs w:val="24"/>
          <w:lang w:val="en-GB"/>
        </w:rPr>
        <w:tab/>
        <w:t xml:space="preserve">The problematic also remains discriminatory provisions of the Abortion Decree. The Abortion Decree stipulates that the abortion cannot be carried out on a woman who undergo abortion less six months ago. There are several exemptions to this rules: (i) there is reasonable doubt that woman was impregnated as a result of crime, (ii) woman is older than 35 years and (iii) woman was already in </w:t>
      </w:r>
      <w:r w:rsidR="00B96EDC" w:rsidRPr="00B96EDC">
        <w:rPr>
          <w:rFonts w:ascii="Times New Roman" w:hAnsi="Times New Roman" w:cs="Times New Roman"/>
          <w:color w:val="auto"/>
          <w:sz w:val="24"/>
          <w:szCs w:val="24"/>
          <w:lang w:val="en-GB"/>
        </w:rPr>
        <w:t>labour</w:t>
      </w:r>
      <w:r w:rsidRPr="00B96EDC">
        <w:rPr>
          <w:rFonts w:ascii="Times New Roman" w:hAnsi="Times New Roman" w:cs="Times New Roman"/>
          <w:color w:val="auto"/>
          <w:sz w:val="24"/>
          <w:szCs w:val="24"/>
          <w:lang w:val="en-GB"/>
        </w:rPr>
        <w:t xml:space="preserve">/delivery at least two times. The Centre believes that two exemptions – age of 35 years and the fact that a women was in </w:t>
      </w:r>
      <w:r w:rsidR="00B96EDC" w:rsidRPr="00B96EDC">
        <w:rPr>
          <w:rFonts w:ascii="Times New Roman" w:hAnsi="Times New Roman" w:cs="Times New Roman"/>
          <w:color w:val="auto"/>
          <w:sz w:val="24"/>
          <w:szCs w:val="24"/>
          <w:lang w:val="en-GB"/>
        </w:rPr>
        <w:t>labour</w:t>
      </w:r>
      <w:r w:rsidRPr="00B96EDC">
        <w:rPr>
          <w:rFonts w:ascii="Times New Roman" w:hAnsi="Times New Roman" w:cs="Times New Roman"/>
          <w:color w:val="auto"/>
          <w:sz w:val="24"/>
          <w:szCs w:val="24"/>
          <w:lang w:val="en-GB"/>
        </w:rPr>
        <w:t xml:space="preserve">/delivery at least two times are discriminatory. The Abortion Decree does not allow women younger than 35 years of age or women who have not delivered/were not in </w:t>
      </w:r>
      <w:r w:rsidR="00B96EDC" w:rsidRPr="00B96EDC">
        <w:rPr>
          <w:rFonts w:ascii="Times New Roman" w:hAnsi="Times New Roman" w:cs="Times New Roman"/>
          <w:color w:val="auto"/>
          <w:sz w:val="24"/>
          <w:szCs w:val="24"/>
          <w:lang w:val="en-GB"/>
        </w:rPr>
        <w:t>labour</w:t>
      </w:r>
      <w:r w:rsidRPr="00B96EDC">
        <w:rPr>
          <w:rFonts w:ascii="Times New Roman" w:hAnsi="Times New Roman" w:cs="Times New Roman"/>
          <w:color w:val="auto"/>
          <w:sz w:val="24"/>
          <w:szCs w:val="24"/>
          <w:lang w:val="en-GB"/>
        </w:rPr>
        <w:t xml:space="preserve"> at least twice to undergo abortion, if there is not at least six months between the previous abortion and their current request for abortion. This leads to unequal treatment </w:t>
      </w:r>
      <w:r w:rsidR="00C8219C" w:rsidRPr="00B96EDC">
        <w:rPr>
          <w:rFonts w:ascii="Times New Roman" w:hAnsi="Times New Roman" w:cs="Times New Roman"/>
          <w:color w:val="auto"/>
          <w:sz w:val="24"/>
          <w:szCs w:val="24"/>
          <w:lang w:val="en-GB"/>
        </w:rPr>
        <w:t xml:space="preserve">– direct discrimination </w:t>
      </w:r>
      <w:r w:rsidRPr="00B96EDC">
        <w:rPr>
          <w:rFonts w:ascii="Times New Roman" w:hAnsi="Times New Roman" w:cs="Times New Roman"/>
          <w:color w:val="auto"/>
          <w:sz w:val="24"/>
          <w:szCs w:val="24"/>
          <w:lang w:val="en-GB"/>
        </w:rPr>
        <w:t>of two abovementioned groups of women</w:t>
      </w:r>
      <w:r w:rsidR="00C8219C" w:rsidRPr="00B96EDC">
        <w:rPr>
          <w:rFonts w:ascii="Times New Roman" w:hAnsi="Times New Roman" w:cs="Times New Roman"/>
          <w:color w:val="auto"/>
          <w:sz w:val="24"/>
          <w:szCs w:val="24"/>
          <w:lang w:val="en-GB"/>
        </w:rPr>
        <w:t xml:space="preserve"> on the other ground in the area of provision of healthcare. The direct discrimination in the area of </w:t>
      </w:r>
      <w:r w:rsidR="00C8219C" w:rsidRPr="00B96EDC">
        <w:rPr>
          <w:rFonts w:ascii="Times New Roman" w:hAnsi="Times New Roman" w:cs="Times New Roman"/>
          <w:color w:val="auto"/>
          <w:sz w:val="24"/>
          <w:szCs w:val="24"/>
          <w:lang w:val="en-GB"/>
        </w:rPr>
        <w:lastRenderedPageBreak/>
        <w:t xml:space="preserve">provision of healthcare on the other ground is forbidden by the Antidiscrimination Act as well as by the Constitution of the Slovak Republic. </w:t>
      </w:r>
    </w:p>
    <w:p w14:paraId="1D3E2662" w14:textId="3CBE3593" w:rsidR="00C8219C" w:rsidRPr="00B96EDC" w:rsidRDefault="00C8219C"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36.</w:t>
      </w:r>
      <w:r w:rsidRPr="00B96EDC">
        <w:rPr>
          <w:rFonts w:ascii="Times New Roman" w:hAnsi="Times New Roman" w:cs="Times New Roman"/>
          <w:color w:val="auto"/>
          <w:sz w:val="24"/>
          <w:szCs w:val="24"/>
          <w:lang w:val="en-GB"/>
        </w:rPr>
        <w:tab/>
        <w:t xml:space="preserve">Secondly, the Abortion Decree discriminates </w:t>
      </w:r>
      <w:r w:rsidR="00011CC6" w:rsidRPr="00B96EDC">
        <w:rPr>
          <w:rFonts w:ascii="Times New Roman" w:hAnsi="Times New Roman" w:cs="Times New Roman"/>
          <w:color w:val="auto"/>
          <w:sz w:val="24"/>
          <w:szCs w:val="24"/>
          <w:lang w:val="en-GB"/>
        </w:rPr>
        <w:t>third country nationals</w:t>
      </w:r>
      <w:r w:rsidRPr="00B96EDC">
        <w:rPr>
          <w:rFonts w:ascii="Times New Roman" w:hAnsi="Times New Roman" w:cs="Times New Roman"/>
          <w:color w:val="auto"/>
          <w:sz w:val="24"/>
          <w:szCs w:val="24"/>
          <w:lang w:val="en-GB"/>
        </w:rPr>
        <w:t xml:space="preserve"> who are staying in the Slovak Republic temporary – with temporary residency. A</w:t>
      </w:r>
      <w:r w:rsidR="00011CC6" w:rsidRPr="00B96EDC">
        <w:rPr>
          <w:rFonts w:ascii="Times New Roman" w:hAnsi="Times New Roman" w:cs="Times New Roman"/>
          <w:color w:val="auto"/>
          <w:sz w:val="24"/>
          <w:szCs w:val="24"/>
          <w:lang w:val="en-GB"/>
        </w:rPr>
        <w:t xml:space="preserve">ccording to Section 9(1) of the Abortion Decree, the abortion pursuant to Section 4 of the Abortion Act cannot be conducted on third country national who stays in the Slovak Republic temporarily. While the European legislation protects citizens of the EU member states, other third country nationals are not covered by the European legislation and cannot undergo abortion on request. </w:t>
      </w:r>
      <w:r w:rsidR="0022051D" w:rsidRPr="00B96EDC">
        <w:rPr>
          <w:rFonts w:ascii="Times New Roman" w:hAnsi="Times New Roman" w:cs="Times New Roman"/>
          <w:color w:val="auto"/>
          <w:sz w:val="24"/>
          <w:szCs w:val="24"/>
          <w:lang w:val="en-GB"/>
        </w:rPr>
        <w:t xml:space="preserve">The Centre would like to stipulate that the abortion on request pursuant to Section 4 of the Abortion Act is not covered by the public health insurance and is fully covered by the patient. Therefore, there is no eligible reason for third country nationals that are not citizens of the EU member states to be precluded from requesting an abortion if all other legal requirements are fulfilled. </w:t>
      </w:r>
    </w:p>
    <w:p w14:paraId="681A27C9" w14:textId="25326C8D" w:rsidR="0022051D" w:rsidRPr="00B96EDC" w:rsidRDefault="0022051D"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37.</w:t>
      </w:r>
      <w:r w:rsidRPr="00B96EDC">
        <w:rPr>
          <w:rFonts w:ascii="Times New Roman" w:hAnsi="Times New Roman" w:cs="Times New Roman"/>
          <w:color w:val="auto"/>
          <w:sz w:val="24"/>
          <w:szCs w:val="24"/>
          <w:lang w:val="en-GB"/>
        </w:rPr>
        <w:tab/>
        <w:t xml:space="preserve">Apart from equivocal regulation of informed consent of under aged girls and multiple discriminatory provisions, the regulation of the access to abortion shows further shortcomings. One of these shortcomings is the waiting period enforced in respect to abortions carried out on request of a woman pursuant to Section 4 of the Abortion Act. The Healthcare Act requires that there is at least 48 hours between the time the physician submitted report on providing information to a patient and actually conducting the abortion. This waiting period is not medically justified and in general, all abortion should be carried out without delay. More time passes from the moment of conception, the more risks are associated with the abortion that cannot be outweighed with the potential benefits of waiting period. </w:t>
      </w:r>
      <w:r w:rsidR="00C80B79" w:rsidRPr="00B96EDC">
        <w:rPr>
          <w:rFonts w:ascii="Times New Roman" w:hAnsi="Times New Roman" w:cs="Times New Roman"/>
          <w:color w:val="auto"/>
          <w:sz w:val="24"/>
          <w:szCs w:val="24"/>
          <w:lang w:val="en-GB"/>
        </w:rPr>
        <w:t>The Centre would like to point out, that the waiting period can be even more prolonged as it does not lapses based on a legal act of a woman (submission of written request for abortion) but it lapses based on a legal act of a physician (submission of a report on providing information to a patient). Currently, there is no legal mechanism that would oblige the physician to submit the report on providing information to a patient as soon as possible, without unnecessary delay. If physician submits the report later (e.g. next day, after weekend etc.), the woman requesting the abortion is pushed to wait for the abortion to be carried out even longer.</w:t>
      </w:r>
    </w:p>
    <w:p w14:paraId="1A7B35CA" w14:textId="1D9066E9" w:rsidR="00C80B79" w:rsidRPr="00B96EDC" w:rsidRDefault="00C80B79"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38.</w:t>
      </w:r>
      <w:r w:rsidRPr="00B96EDC">
        <w:rPr>
          <w:rFonts w:ascii="Times New Roman" w:hAnsi="Times New Roman" w:cs="Times New Roman"/>
          <w:color w:val="auto"/>
          <w:sz w:val="24"/>
          <w:szCs w:val="24"/>
          <w:lang w:val="en-GB"/>
        </w:rPr>
        <w:tab/>
        <w:t xml:space="preserve">According to the National Centre of Medical Information, in 2019 there were 121 healthcare providers that operated bed departments or one-day medical care department in the OBGYN field and were obliged to report on abortions or treatment provided </w:t>
      </w:r>
      <w:r w:rsidR="00D65981" w:rsidRPr="00B96EDC">
        <w:rPr>
          <w:rFonts w:ascii="Times New Roman" w:hAnsi="Times New Roman" w:cs="Times New Roman"/>
          <w:color w:val="auto"/>
          <w:sz w:val="24"/>
          <w:szCs w:val="24"/>
          <w:lang w:val="en-GB"/>
        </w:rPr>
        <w:t>due to a</w:t>
      </w:r>
      <w:r w:rsidRPr="00B96EDC">
        <w:rPr>
          <w:rFonts w:ascii="Times New Roman" w:hAnsi="Times New Roman" w:cs="Times New Roman"/>
          <w:color w:val="auto"/>
          <w:sz w:val="24"/>
          <w:szCs w:val="24"/>
          <w:lang w:val="en-GB"/>
        </w:rPr>
        <w:t xml:space="preserve"> miscarriage. </w:t>
      </w:r>
      <w:r w:rsidR="00D65981" w:rsidRPr="00B96EDC">
        <w:rPr>
          <w:rFonts w:ascii="Times New Roman" w:hAnsi="Times New Roman" w:cs="Times New Roman"/>
          <w:color w:val="auto"/>
          <w:sz w:val="24"/>
          <w:szCs w:val="24"/>
          <w:lang w:val="en-GB"/>
        </w:rPr>
        <w:t xml:space="preserve">In 2019, the Centre conducted a short survey among the respective healthcare providers to map the access to abortion services. The survey included 43 healthcare providers out of which 28 healthcare providers were owned by state or self-government body and 16 healthcare providers were private. The geographical coverage of interviewed healthcare providers was even with only minor deviations – Košice region (18,6%), Prešov region (16,3%), Trenčín region (14%), Źilina region (14%), Trnava region (11,6%), Banská Bystrica (11,6%), Bratislava region (9,3%), Nitra region (4,7%). </w:t>
      </w:r>
    </w:p>
    <w:p w14:paraId="47C8AFA4" w14:textId="49BB5583" w:rsidR="00D65981" w:rsidRPr="00B96EDC" w:rsidRDefault="00D65981"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39.</w:t>
      </w:r>
      <w:r w:rsidRPr="00B96EDC">
        <w:rPr>
          <w:rFonts w:ascii="Times New Roman" w:hAnsi="Times New Roman" w:cs="Times New Roman"/>
          <w:color w:val="auto"/>
          <w:sz w:val="24"/>
          <w:szCs w:val="24"/>
          <w:lang w:val="en-GB"/>
        </w:rPr>
        <w:tab/>
        <w:t xml:space="preserve">The Centre found out that only 69,8% interviewed healthcare providers are providing abortion services. Remaining 30,2% of interviewed healthcare providers are not proving any </w:t>
      </w:r>
      <w:r w:rsidRPr="00B96EDC">
        <w:rPr>
          <w:rFonts w:ascii="Times New Roman" w:hAnsi="Times New Roman" w:cs="Times New Roman"/>
          <w:color w:val="auto"/>
          <w:sz w:val="24"/>
          <w:szCs w:val="24"/>
          <w:lang w:val="en-GB"/>
        </w:rPr>
        <w:lastRenderedPageBreak/>
        <w:t xml:space="preserve">abortion services. Those healthcare providers who are providing abortion services are usually conducting abortion as a part of the one-day medical care, in short term </w:t>
      </w:r>
      <w:r w:rsidR="00B96EDC" w:rsidRPr="00B96EDC">
        <w:rPr>
          <w:rFonts w:ascii="Times New Roman" w:hAnsi="Times New Roman" w:cs="Times New Roman"/>
          <w:color w:val="auto"/>
          <w:sz w:val="24"/>
          <w:szCs w:val="24"/>
          <w:lang w:val="en-GB"/>
        </w:rPr>
        <w:t>anaesthesia</w:t>
      </w:r>
      <w:r w:rsidRPr="00B96EDC">
        <w:rPr>
          <w:rFonts w:ascii="Times New Roman" w:hAnsi="Times New Roman" w:cs="Times New Roman"/>
          <w:color w:val="auto"/>
          <w:sz w:val="24"/>
          <w:szCs w:val="24"/>
          <w:lang w:val="en-GB"/>
        </w:rPr>
        <w:t xml:space="preserve"> by dilatation of cervix followed by vacuum aspiration, and if needed, supplemented by curettage of uterine cavity. </w:t>
      </w:r>
      <w:r w:rsidR="00487387" w:rsidRPr="00B96EDC">
        <w:rPr>
          <w:rFonts w:ascii="Times New Roman" w:hAnsi="Times New Roman" w:cs="Times New Roman"/>
          <w:color w:val="auto"/>
          <w:sz w:val="24"/>
          <w:szCs w:val="24"/>
          <w:lang w:val="en-GB"/>
        </w:rPr>
        <w:t>According to the World Health Organization, the vacuum aspiration is recommended for conducting the abortion up to 14</w:t>
      </w:r>
      <w:r w:rsidR="00487387" w:rsidRPr="00B96EDC">
        <w:rPr>
          <w:rFonts w:ascii="Times New Roman" w:hAnsi="Times New Roman" w:cs="Times New Roman"/>
          <w:color w:val="auto"/>
          <w:sz w:val="24"/>
          <w:szCs w:val="24"/>
          <w:vertAlign w:val="superscript"/>
          <w:lang w:val="en-GB"/>
        </w:rPr>
        <w:t>th</w:t>
      </w:r>
      <w:r w:rsidR="00487387" w:rsidRPr="00B96EDC">
        <w:rPr>
          <w:rFonts w:ascii="Times New Roman" w:hAnsi="Times New Roman" w:cs="Times New Roman"/>
          <w:color w:val="auto"/>
          <w:sz w:val="24"/>
          <w:szCs w:val="24"/>
          <w:lang w:val="en-GB"/>
        </w:rPr>
        <w:t xml:space="preserve"> gestational week and routine curettage is not recommended.</w:t>
      </w:r>
      <w:r w:rsidR="00487387" w:rsidRPr="00B96EDC">
        <w:rPr>
          <w:rStyle w:val="Odkaznapoznmkupodiarou"/>
          <w:rFonts w:ascii="Times New Roman" w:hAnsi="Times New Roman" w:cs="Times New Roman"/>
          <w:color w:val="auto"/>
          <w:sz w:val="24"/>
          <w:szCs w:val="24"/>
          <w:lang w:val="en-GB"/>
        </w:rPr>
        <w:footnoteReference w:id="40"/>
      </w:r>
      <w:r w:rsidR="00487387" w:rsidRPr="00B96EDC">
        <w:rPr>
          <w:rFonts w:ascii="Times New Roman" w:hAnsi="Times New Roman" w:cs="Times New Roman"/>
          <w:color w:val="auto"/>
          <w:sz w:val="24"/>
          <w:szCs w:val="24"/>
          <w:lang w:val="en-GB"/>
        </w:rPr>
        <w:t xml:space="preserve"> Almost 14% of interviewed healthcare providers indicated that the curettage of uterine cavity is a preferred method of abortion. </w:t>
      </w:r>
    </w:p>
    <w:p w14:paraId="71EFCC3C" w14:textId="55974139" w:rsidR="00456FFA" w:rsidRPr="00B96EDC" w:rsidRDefault="00456FFA"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40.</w:t>
      </w:r>
      <w:r w:rsidRPr="00B96EDC">
        <w:rPr>
          <w:rFonts w:ascii="Times New Roman" w:hAnsi="Times New Roman" w:cs="Times New Roman"/>
          <w:color w:val="auto"/>
          <w:sz w:val="24"/>
          <w:szCs w:val="24"/>
          <w:lang w:val="en-GB"/>
        </w:rPr>
        <w:tab/>
        <w:t>Those healthcare providers who are not providing abortion services stated that all members of medical staff at the OBGYN department as well as other members of medical staff that are needed for providing abortion services</w:t>
      </w:r>
      <w:r w:rsidR="00015914" w:rsidRPr="00B96EDC">
        <w:rPr>
          <w:rFonts w:ascii="Times New Roman" w:hAnsi="Times New Roman" w:cs="Times New Roman"/>
          <w:color w:val="auto"/>
          <w:sz w:val="24"/>
          <w:szCs w:val="24"/>
          <w:lang w:val="en-GB"/>
        </w:rPr>
        <w:t xml:space="preserve"> </w:t>
      </w:r>
      <w:r w:rsidRPr="00B96EDC">
        <w:rPr>
          <w:rFonts w:ascii="Times New Roman" w:hAnsi="Times New Roman" w:cs="Times New Roman"/>
          <w:color w:val="auto"/>
          <w:sz w:val="24"/>
          <w:szCs w:val="24"/>
          <w:lang w:val="en-GB"/>
        </w:rPr>
        <w:t xml:space="preserve">(e.g. conducting pre-operative examinations, </w:t>
      </w:r>
      <w:r w:rsidR="00B96EDC" w:rsidRPr="00B96EDC">
        <w:rPr>
          <w:rFonts w:ascii="Times New Roman" w:hAnsi="Times New Roman" w:cs="Times New Roman"/>
          <w:color w:val="auto"/>
          <w:sz w:val="24"/>
          <w:szCs w:val="24"/>
          <w:lang w:val="en-GB"/>
        </w:rPr>
        <w:t>anaesthesia</w:t>
      </w:r>
      <w:r w:rsidR="00015914" w:rsidRPr="00B96EDC">
        <w:rPr>
          <w:rFonts w:ascii="Times New Roman" w:hAnsi="Times New Roman" w:cs="Times New Roman"/>
          <w:color w:val="auto"/>
          <w:sz w:val="24"/>
          <w:szCs w:val="24"/>
          <w:lang w:val="en-GB"/>
        </w:rPr>
        <w:t xml:space="preserve"> etc.) claim conscientious objection. Other reason indicated by the interviewed healthcare providers was that it is decision of the management of the OBGYN department. More than 11,6% of interviewed healthcare providers (5 subjects) claimed that they do not provide abortion services to women who do not have health indications for the abortion due to the genetically defective </w:t>
      </w:r>
      <w:r w:rsidR="00B96EDC" w:rsidRPr="00B96EDC">
        <w:rPr>
          <w:rFonts w:ascii="Times New Roman" w:hAnsi="Times New Roman" w:cs="Times New Roman"/>
          <w:color w:val="auto"/>
          <w:sz w:val="24"/>
          <w:szCs w:val="24"/>
          <w:lang w:val="en-GB"/>
        </w:rPr>
        <w:t>foetus</w:t>
      </w:r>
      <w:r w:rsidR="00015914" w:rsidRPr="00B96EDC">
        <w:rPr>
          <w:rFonts w:ascii="Times New Roman" w:hAnsi="Times New Roman" w:cs="Times New Roman"/>
          <w:color w:val="auto"/>
          <w:sz w:val="24"/>
          <w:szCs w:val="24"/>
          <w:lang w:val="en-GB"/>
        </w:rPr>
        <w:t xml:space="preserve"> development or the life or health of a woman is endangered. These healthcare providers did not state the reason behind such managerial decision. Some healthcare providers have not been providing abortions services for such a long time that current employees are not aware why such services are not provided. </w:t>
      </w:r>
    </w:p>
    <w:p w14:paraId="44EE1EAF" w14:textId="307AA467" w:rsidR="00015914" w:rsidRPr="00B96EDC" w:rsidRDefault="00015914"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41.</w:t>
      </w:r>
      <w:r w:rsidRPr="00B96EDC">
        <w:rPr>
          <w:rFonts w:ascii="Times New Roman" w:hAnsi="Times New Roman" w:cs="Times New Roman"/>
          <w:color w:val="auto"/>
          <w:sz w:val="24"/>
          <w:szCs w:val="24"/>
          <w:lang w:val="en-GB"/>
        </w:rPr>
        <w:tab/>
        <w:t>The Centre also found out that many interviewed healthcare providers do not keep the list of medical staff claiming con</w:t>
      </w:r>
      <w:r w:rsidR="00FD106D" w:rsidRPr="00B96EDC">
        <w:rPr>
          <w:rFonts w:ascii="Times New Roman" w:hAnsi="Times New Roman" w:cs="Times New Roman"/>
          <w:color w:val="auto"/>
          <w:sz w:val="24"/>
          <w:szCs w:val="24"/>
          <w:lang w:val="en-GB"/>
        </w:rPr>
        <w:t xml:space="preserve">scientious objection that means or if they do, they do not update it on a regular basis. According to the Healthcare Act, all members of medical staff are obliged to inform the healthcare provider as well as the patient, if they claim the conscientious objection. </w:t>
      </w:r>
    </w:p>
    <w:p w14:paraId="6C01C7C0" w14:textId="1882B4B2" w:rsidR="00FD106D" w:rsidRPr="00B96EDC" w:rsidRDefault="00FD106D"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42.</w:t>
      </w:r>
      <w:r w:rsidRPr="00B96EDC">
        <w:rPr>
          <w:rFonts w:ascii="Times New Roman" w:hAnsi="Times New Roman" w:cs="Times New Roman"/>
          <w:color w:val="auto"/>
          <w:sz w:val="24"/>
          <w:szCs w:val="24"/>
          <w:lang w:val="en-GB"/>
        </w:rPr>
        <w:tab/>
        <w:t>According to the applicable legislation, it is not possible for the healthcare provider to refuse provision of treatment, examination or any other act of healthcare, including abortion based solely on the managerial decision of the hospital respectively its department. The Act</w:t>
      </w:r>
      <w:r w:rsidR="007D22DB" w:rsidRPr="00B96EDC">
        <w:rPr>
          <w:rFonts w:ascii="Times New Roman" w:hAnsi="Times New Roman" w:cs="Times New Roman"/>
          <w:color w:val="auto"/>
          <w:sz w:val="24"/>
          <w:szCs w:val="24"/>
          <w:lang w:val="en-GB"/>
        </w:rPr>
        <w:t xml:space="preserve"> No. 578/2004 Coll. on Healthcare Providers, Healthcare Workers, Professional Organizations in Healthcare and on Changes and Amendments of Certain Acts, as amended (“Healthcare Providers Act”)</w:t>
      </w:r>
      <w:r w:rsidRPr="00B96EDC">
        <w:rPr>
          <w:rFonts w:ascii="Times New Roman" w:hAnsi="Times New Roman" w:cs="Times New Roman"/>
          <w:color w:val="auto"/>
          <w:sz w:val="24"/>
          <w:szCs w:val="24"/>
          <w:lang w:val="en-GB"/>
        </w:rPr>
        <w:t xml:space="preserve"> stipulates that the healthcare provider can refuse to enter the agreement on the provision of healthcare </w:t>
      </w:r>
      <w:r w:rsidR="00D64BDA" w:rsidRPr="00B96EDC">
        <w:rPr>
          <w:rFonts w:ascii="Times New Roman" w:hAnsi="Times New Roman" w:cs="Times New Roman"/>
          <w:color w:val="auto"/>
          <w:sz w:val="24"/>
          <w:szCs w:val="24"/>
          <w:lang w:val="en-GB"/>
        </w:rPr>
        <w:t>only if (i) by concluding such agreement it would exceeded tolerable workload, (ii) the physician has a personal relationship with a person who should receive medical care or (iii) his/her legal guardian and is not able to ensure for the medical care to be provided objectively, (iii) the physician is claiming conscientious objection (only in respect to abortion or artificial insemination).</w:t>
      </w:r>
    </w:p>
    <w:p w14:paraId="6FE9A15C" w14:textId="4124A1AF" w:rsidR="00456FFA" w:rsidRPr="00B96EDC" w:rsidRDefault="00D64BDA" w:rsidP="0026647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43.</w:t>
      </w:r>
      <w:r w:rsidRPr="00B96EDC">
        <w:rPr>
          <w:rFonts w:ascii="Times New Roman" w:hAnsi="Times New Roman" w:cs="Times New Roman"/>
          <w:color w:val="auto"/>
          <w:sz w:val="24"/>
          <w:szCs w:val="24"/>
          <w:lang w:val="en-GB"/>
        </w:rPr>
        <w:tab/>
        <w:t xml:space="preserve">The scenario in which the healthcare provider decided to provide abortion services to women on request only if there is a health indication. Such arbitrary managerial decision is not only contrary to the </w:t>
      </w:r>
      <w:r w:rsidR="007D22DB" w:rsidRPr="00B96EDC">
        <w:rPr>
          <w:rFonts w:ascii="Times New Roman" w:hAnsi="Times New Roman" w:cs="Times New Roman"/>
          <w:color w:val="auto"/>
          <w:sz w:val="24"/>
          <w:szCs w:val="24"/>
          <w:lang w:val="en-GB"/>
        </w:rPr>
        <w:t xml:space="preserve">Healthcare Providers Act but it also directly discriminates women in the area </w:t>
      </w:r>
      <w:r w:rsidR="007D22DB" w:rsidRPr="00B96EDC">
        <w:rPr>
          <w:rFonts w:ascii="Times New Roman" w:hAnsi="Times New Roman" w:cs="Times New Roman"/>
          <w:color w:val="auto"/>
          <w:sz w:val="24"/>
          <w:szCs w:val="24"/>
          <w:lang w:val="en-GB"/>
        </w:rPr>
        <w:lastRenderedPageBreak/>
        <w:t xml:space="preserve">of provision of healthcare based on the ground of other status as regulated by the Antidiscrimination Act. In case that two women turn to the same hospital and both women are pregnant no more than 12 weeks, and first woman request abortion pursuant to Section 4 of the Abortion Act and second woman request abortion pursuant to Section 5 of the Abortion Act, the healthcare provider will provide medical treatment (abortion) only to a women who requested abortion pursuant to Section 5 of the Abortion, that is there is a health indication for abortion (a life or health of expecting woman is endangered or genetically defective </w:t>
      </w:r>
      <w:r w:rsidR="00B96EDC" w:rsidRPr="00B96EDC">
        <w:rPr>
          <w:rFonts w:ascii="Times New Roman" w:hAnsi="Times New Roman" w:cs="Times New Roman"/>
          <w:color w:val="auto"/>
          <w:sz w:val="24"/>
          <w:szCs w:val="24"/>
          <w:lang w:val="en-GB"/>
        </w:rPr>
        <w:t>foetus</w:t>
      </w:r>
      <w:r w:rsidR="007D22DB" w:rsidRPr="00B96EDC">
        <w:rPr>
          <w:rFonts w:ascii="Times New Roman" w:hAnsi="Times New Roman" w:cs="Times New Roman"/>
          <w:color w:val="auto"/>
          <w:sz w:val="24"/>
          <w:szCs w:val="24"/>
          <w:lang w:val="en-GB"/>
        </w:rPr>
        <w:t xml:space="preserve"> development is indicated). The women who also requested the abortion but the health indication is not present will not be provided with the abortion services. </w:t>
      </w:r>
      <w:r w:rsidR="009B5F1F" w:rsidRPr="00B96EDC">
        <w:rPr>
          <w:rFonts w:ascii="Times New Roman" w:hAnsi="Times New Roman" w:cs="Times New Roman"/>
          <w:color w:val="auto"/>
          <w:sz w:val="24"/>
          <w:szCs w:val="24"/>
          <w:lang w:val="en-GB"/>
        </w:rPr>
        <w:t xml:space="preserve">The healthcare provider will reject such a patient due to the fact that such abortion services are not provided at the respective facility. Such approach to provision of abortion services shall be deemed as discriminatory.  Both patients are up to 12 weeks pregnant, both submitted a written request for abortion, however, one patient was not diagnosed with health </w:t>
      </w:r>
      <w:r w:rsidR="00A93E1D" w:rsidRPr="00B96EDC">
        <w:rPr>
          <w:rFonts w:ascii="Times New Roman" w:hAnsi="Times New Roman" w:cs="Times New Roman"/>
          <w:color w:val="auto"/>
          <w:sz w:val="24"/>
          <w:szCs w:val="24"/>
          <w:lang w:val="en-GB"/>
        </w:rPr>
        <w:t xml:space="preserve">indication as stipulated by </w:t>
      </w:r>
      <w:r w:rsidR="009B5F1F" w:rsidRPr="00B96EDC">
        <w:rPr>
          <w:rFonts w:ascii="Times New Roman" w:hAnsi="Times New Roman" w:cs="Times New Roman"/>
          <w:color w:val="auto"/>
          <w:sz w:val="24"/>
          <w:szCs w:val="24"/>
          <w:lang w:val="en-GB"/>
        </w:rPr>
        <w:t xml:space="preserve">Section 5 of the Abortion Act what should be seen as objective fact that cannot be changed by the patient herself. </w:t>
      </w:r>
      <w:r w:rsidR="00A93E1D" w:rsidRPr="00B96EDC">
        <w:rPr>
          <w:rFonts w:ascii="Times New Roman" w:hAnsi="Times New Roman" w:cs="Times New Roman"/>
          <w:color w:val="auto"/>
          <w:sz w:val="24"/>
          <w:szCs w:val="24"/>
          <w:lang w:val="en-GB"/>
        </w:rPr>
        <w:t>Refusing to provide abortion services to a patient without health indication pursuant to</w:t>
      </w:r>
      <w:r w:rsidR="009B5F1F" w:rsidRPr="00B96EDC">
        <w:rPr>
          <w:rFonts w:ascii="Times New Roman" w:hAnsi="Times New Roman" w:cs="Times New Roman"/>
          <w:color w:val="auto"/>
          <w:sz w:val="24"/>
          <w:szCs w:val="24"/>
          <w:lang w:val="en-GB"/>
        </w:rPr>
        <w:t xml:space="preserve"> </w:t>
      </w:r>
      <w:r w:rsidR="00A93E1D" w:rsidRPr="00B96EDC">
        <w:rPr>
          <w:rFonts w:ascii="Times New Roman" w:hAnsi="Times New Roman" w:cs="Times New Roman"/>
          <w:color w:val="auto"/>
          <w:sz w:val="24"/>
          <w:szCs w:val="24"/>
          <w:lang w:val="en-GB"/>
        </w:rPr>
        <w:t xml:space="preserve">Section 5 of the Abortion Act shall be considered as intentionally less </w:t>
      </w:r>
      <w:r w:rsidR="00B96EDC" w:rsidRPr="00B96EDC">
        <w:rPr>
          <w:rFonts w:ascii="Times New Roman" w:hAnsi="Times New Roman" w:cs="Times New Roman"/>
          <w:color w:val="auto"/>
          <w:sz w:val="24"/>
          <w:szCs w:val="24"/>
          <w:lang w:val="en-GB"/>
        </w:rPr>
        <w:t>favourable</w:t>
      </w:r>
      <w:r w:rsidR="00A93E1D" w:rsidRPr="00B96EDC">
        <w:rPr>
          <w:rFonts w:ascii="Times New Roman" w:hAnsi="Times New Roman" w:cs="Times New Roman"/>
          <w:color w:val="auto"/>
          <w:sz w:val="24"/>
          <w:szCs w:val="24"/>
          <w:lang w:val="en-GB"/>
        </w:rPr>
        <w:t xml:space="preserve"> treatment of such patient in comparison with a woman who was diagnosed with the health indication. </w:t>
      </w:r>
    </w:p>
    <w:p w14:paraId="02F3CE20" w14:textId="5C1CB612" w:rsidR="005F5C47" w:rsidRPr="00B96EDC" w:rsidRDefault="00A93E1D" w:rsidP="000B2CA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44.</w:t>
      </w:r>
      <w:r w:rsidRPr="00B96EDC">
        <w:rPr>
          <w:rFonts w:ascii="Times New Roman" w:hAnsi="Times New Roman" w:cs="Times New Roman"/>
          <w:color w:val="auto"/>
          <w:sz w:val="24"/>
          <w:szCs w:val="24"/>
          <w:lang w:val="en-GB"/>
        </w:rPr>
        <w:tab/>
        <w:t>If it comes to the abortion costs, there are two applicable regimes. Firstly, the cost of abortion on request pursuant to Section 4 of the Abortion Act is governed by the Act of the Ministry of Health of the Slovak Republic No. 07045/2003 – OAP dated 30 December 2003</w:t>
      </w:r>
      <w:r w:rsidR="005D72DB" w:rsidRPr="00B96EDC">
        <w:rPr>
          <w:rFonts w:ascii="Times New Roman" w:hAnsi="Times New Roman" w:cs="Times New Roman"/>
          <w:color w:val="auto"/>
          <w:sz w:val="24"/>
          <w:szCs w:val="24"/>
          <w:lang w:val="en-GB"/>
        </w:rPr>
        <w:t xml:space="preserve"> (notification No. 588/2003 Coll.) and it is set for 248,95 EUR. According to the Ministry of Health of the Slovak Republic, the sum shall cover all costs related to the provision of abortion, including diagnostics, examinations, administration, hospital stay as well as medicines. The price is regulated for all healthcare providers. </w:t>
      </w:r>
      <w:r w:rsidR="000B2CA2" w:rsidRPr="00B96EDC">
        <w:rPr>
          <w:rFonts w:ascii="Times New Roman" w:hAnsi="Times New Roman" w:cs="Times New Roman"/>
          <w:color w:val="auto"/>
          <w:sz w:val="24"/>
          <w:szCs w:val="24"/>
          <w:lang w:val="en-GB"/>
        </w:rPr>
        <w:t xml:space="preserve">The second regime governs abortion carried out pursuant to Section 5 of the Abortion Act. If the abortion is carried out due to the health indication, it is covered by the public health insurance. All eligible health indications are listed the Annex to the Abortion Decree. As a part of the survey, the Centre found out that some interviewed healthcare providers charge for the abortions not covered by the public health insurance much more than the sum stipulated in the Act of the Ministry of Health of the Slovak Republic No. 07045/2003 – OAP. </w:t>
      </w:r>
      <w:r w:rsidR="00BA62C0" w:rsidRPr="00B96EDC">
        <w:rPr>
          <w:rFonts w:ascii="Times New Roman" w:hAnsi="Times New Roman" w:cs="Times New Roman"/>
          <w:color w:val="auto"/>
          <w:sz w:val="24"/>
          <w:szCs w:val="24"/>
          <w:lang w:val="en-GB"/>
        </w:rPr>
        <w:t>Based on the information collected from the healthcare providers, t</w:t>
      </w:r>
      <w:r w:rsidR="000B2CA2" w:rsidRPr="00B96EDC">
        <w:rPr>
          <w:rFonts w:ascii="Times New Roman" w:hAnsi="Times New Roman" w:cs="Times New Roman"/>
          <w:color w:val="auto"/>
          <w:sz w:val="24"/>
          <w:szCs w:val="24"/>
          <w:lang w:val="en-GB"/>
        </w:rPr>
        <w:t xml:space="preserve">he increase in price of the abortion was usually caused </w:t>
      </w:r>
      <w:r w:rsidR="00BA62C0" w:rsidRPr="00B96EDC">
        <w:rPr>
          <w:rFonts w:ascii="Times New Roman" w:hAnsi="Times New Roman" w:cs="Times New Roman"/>
          <w:color w:val="auto"/>
          <w:sz w:val="24"/>
          <w:szCs w:val="24"/>
          <w:lang w:val="en-GB"/>
        </w:rPr>
        <w:t xml:space="preserve">by </w:t>
      </w:r>
      <w:r w:rsidR="00207E5E" w:rsidRPr="00B96EDC">
        <w:rPr>
          <w:rFonts w:ascii="Times New Roman" w:hAnsi="Times New Roman" w:cs="Times New Roman"/>
          <w:color w:val="auto"/>
          <w:sz w:val="24"/>
          <w:szCs w:val="24"/>
          <w:lang w:val="en-GB"/>
        </w:rPr>
        <w:t>separate payments for pre-operative examinations (20 EUR - 50 EUR), immunoglobulin (50 EUR), hospital fees (60 EUR – 70 EUR). Contrary to the regulation, the total cost of the abortion might exceed even 300 EUR.</w:t>
      </w:r>
      <w:r w:rsidR="00B71F72" w:rsidRPr="00B96EDC">
        <w:rPr>
          <w:rFonts w:ascii="Times New Roman" w:hAnsi="Times New Roman" w:cs="Times New Roman"/>
          <w:color w:val="auto"/>
          <w:sz w:val="24"/>
          <w:szCs w:val="24"/>
          <w:lang w:val="en-GB"/>
        </w:rPr>
        <w:t xml:space="preserve"> The overall regulated cost of the abortion can act as an obstacle for girls and women with socially disadvantaged backgrounds (e. g. unemployed, students etc.) or girls and women under special regime (e. g. girls and women in prison). </w:t>
      </w:r>
    </w:p>
    <w:p w14:paraId="5481B5FE" w14:textId="77777777" w:rsidR="005F5C47" w:rsidRPr="00B96EDC" w:rsidRDefault="005F5C47">
      <w:pPr>
        <w:ind w:right="0"/>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br w:type="page"/>
      </w:r>
    </w:p>
    <w:p w14:paraId="3C84FCF5" w14:textId="05F2014F" w:rsidR="00B71F72" w:rsidRPr="00B96EDC" w:rsidRDefault="00B71F72" w:rsidP="00B71F72">
      <w:pPr>
        <w:spacing w:after="120"/>
        <w:jc w:val="both"/>
        <w:rPr>
          <w:rFonts w:ascii="Times New Roman" w:hAnsi="Times New Roman" w:cs="Times New Roman"/>
          <w:b/>
          <w:color w:val="0C5CA8"/>
          <w:sz w:val="24"/>
          <w:szCs w:val="24"/>
          <w:lang w:val="en-GB"/>
        </w:rPr>
      </w:pPr>
      <w:r w:rsidRPr="00B96EDC">
        <w:rPr>
          <w:rFonts w:ascii="Times New Roman" w:hAnsi="Times New Roman" w:cs="Times New Roman"/>
          <w:b/>
          <w:color w:val="0C5CA8"/>
          <w:sz w:val="24"/>
          <w:szCs w:val="24"/>
          <w:lang w:val="en-GB"/>
        </w:rPr>
        <w:lastRenderedPageBreak/>
        <w:t xml:space="preserve">Article 11 (2) </w:t>
      </w:r>
    </w:p>
    <w:p w14:paraId="54E926A8" w14:textId="07215F54" w:rsidR="00B71F72" w:rsidRPr="00B96EDC" w:rsidRDefault="00B71F72" w:rsidP="00B71F72">
      <w:pPr>
        <w:spacing w:after="120"/>
        <w:jc w:val="both"/>
        <w:rPr>
          <w:rFonts w:ascii="Times New Roman" w:hAnsi="Times New Roman" w:cs="Times New Roman"/>
          <w:b/>
          <w:color w:val="0C5CA8"/>
          <w:sz w:val="24"/>
          <w:szCs w:val="24"/>
          <w:lang w:val="en-GB"/>
        </w:rPr>
      </w:pPr>
      <w:r w:rsidRPr="00B96EDC">
        <w:rPr>
          <w:rFonts w:ascii="Times New Roman" w:hAnsi="Times New Roman" w:cs="Times New Roman"/>
          <w:b/>
          <w:color w:val="0C5CA8"/>
          <w:sz w:val="24"/>
          <w:szCs w:val="24"/>
          <w:lang w:val="en-GB"/>
        </w:rPr>
        <w:t>To provide advisory and educational facilities for the promotion of health and the encouragement of individual responsibility of matters of health.</w:t>
      </w:r>
    </w:p>
    <w:p w14:paraId="2652DF0D" w14:textId="77777777" w:rsidR="00B71F72" w:rsidRPr="00B96EDC" w:rsidRDefault="00B71F72" w:rsidP="00B71F72">
      <w:pPr>
        <w:spacing w:after="120"/>
        <w:jc w:val="both"/>
        <w:rPr>
          <w:rFonts w:ascii="Times New Roman" w:hAnsi="Times New Roman" w:cs="Times New Roman"/>
          <w:color w:val="auto"/>
          <w:sz w:val="24"/>
          <w:szCs w:val="24"/>
          <w:lang w:val="en-GB"/>
        </w:rPr>
      </w:pPr>
    </w:p>
    <w:p w14:paraId="552BCDC6" w14:textId="7679414A" w:rsidR="00B71F72" w:rsidRPr="00B96EDC" w:rsidRDefault="00B71F72" w:rsidP="000B2CA2">
      <w:pPr>
        <w:spacing w:after="120"/>
        <w:jc w:val="both"/>
        <w:rPr>
          <w:rFonts w:ascii="Times New Roman" w:hAnsi="Times New Roman" w:cs="Times New Roman"/>
          <w:b/>
          <w:color w:val="auto"/>
          <w:sz w:val="24"/>
          <w:szCs w:val="24"/>
          <w:lang w:val="en-GB"/>
        </w:rPr>
      </w:pPr>
      <w:r w:rsidRPr="00B96EDC">
        <w:rPr>
          <w:rFonts w:ascii="Times New Roman" w:hAnsi="Times New Roman" w:cs="Times New Roman"/>
          <w:b/>
          <w:color w:val="auto"/>
          <w:sz w:val="24"/>
          <w:szCs w:val="24"/>
          <w:lang w:val="en-GB"/>
        </w:rPr>
        <w:t>A)</w:t>
      </w:r>
      <w:r w:rsidRPr="00B96EDC">
        <w:rPr>
          <w:rFonts w:ascii="Times New Roman" w:hAnsi="Times New Roman" w:cs="Times New Roman"/>
          <w:b/>
          <w:color w:val="auto"/>
          <w:sz w:val="24"/>
          <w:szCs w:val="24"/>
          <w:lang w:val="en-GB"/>
        </w:rPr>
        <w:tab/>
        <w:t>HEALTH EDUCATION AND RELATED PREVENTION STRATEGIES.</w:t>
      </w:r>
    </w:p>
    <w:p w14:paraId="185BDD48" w14:textId="2DDD6F27" w:rsidR="00BA62C0" w:rsidRPr="00B96EDC" w:rsidRDefault="00B71F72" w:rsidP="000B2CA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45.</w:t>
      </w:r>
      <w:r w:rsidRPr="00B96EDC">
        <w:rPr>
          <w:rFonts w:ascii="Times New Roman" w:hAnsi="Times New Roman" w:cs="Times New Roman"/>
          <w:color w:val="auto"/>
          <w:sz w:val="24"/>
          <w:szCs w:val="24"/>
          <w:lang w:val="en-GB"/>
        </w:rPr>
        <w:tab/>
      </w:r>
      <w:r w:rsidR="005F5C47" w:rsidRPr="00B96EDC">
        <w:rPr>
          <w:rFonts w:ascii="Times New Roman" w:hAnsi="Times New Roman" w:cs="Times New Roman"/>
          <w:color w:val="auto"/>
          <w:sz w:val="24"/>
          <w:szCs w:val="24"/>
          <w:lang w:val="en-GB"/>
        </w:rPr>
        <w:t>Sexuality education represents one of the basic tools for the improvement of the enjoyment of sexual and reproductive rights. Before 1989m the Slovak Republic belonged to the number of states that opted solely for educational activities aiming to prepare pupils and students for marriage and parenthood. However, such programme cannot be considered to be a form of sexuality education. The Centre believes that the sexuality education should be a part of the formal education, should include participation of parents and legal guardians, reflect on current scientific knowledge, apply human rights based approach and respect target groups.</w:t>
      </w:r>
    </w:p>
    <w:p w14:paraId="22FDEFA8" w14:textId="63BB60B2" w:rsidR="005F5C47" w:rsidRPr="00B96EDC" w:rsidRDefault="005F5C47" w:rsidP="000B2CA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46.</w:t>
      </w:r>
      <w:r w:rsidRPr="00B96EDC">
        <w:rPr>
          <w:rFonts w:ascii="Times New Roman" w:hAnsi="Times New Roman" w:cs="Times New Roman"/>
          <w:color w:val="auto"/>
          <w:sz w:val="24"/>
          <w:szCs w:val="24"/>
          <w:lang w:val="en-GB"/>
        </w:rPr>
        <w:tab/>
      </w:r>
      <w:r w:rsidR="00B96EDC" w:rsidRPr="00B96EDC">
        <w:rPr>
          <w:rFonts w:ascii="Times New Roman" w:hAnsi="Times New Roman" w:cs="Times New Roman"/>
          <w:color w:val="auto"/>
          <w:sz w:val="24"/>
          <w:szCs w:val="24"/>
          <w:lang w:val="en-GB"/>
        </w:rPr>
        <w:t xml:space="preserve">Not understanding the purpose and content of sexuality education for young people by the public authorities represents the biggest challenge to improving the sexuality education in the Slovak Republic. Public authorities as well as some civil society organizations, faith-based organizations and political parties often use inappropriate language, gender stereotypes and misinformation arguing with traditional values and protection of family. </w:t>
      </w:r>
    </w:p>
    <w:p w14:paraId="267982FA" w14:textId="5D9AFAC2" w:rsidR="00B96EDC" w:rsidRDefault="00B96EDC" w:rsidP="000B2CA2">
      <w:pPr>
        <w:spacing w:after="120"/>
        <w:jc w:val="both"/>
        <w:rPr>
          <w:rFonts w:ascii="Times New Roman" w:hAnsi="Times New Roman" w:cs="Times New Roman"/>
          <w:color w:val="auto"/>
          <w:sz w:val="24"/>
          <w:szCs w:val="24"/>
          <w:lang w:val="en-GB"/>
        </w:rPr>
      </w:pPr>
      <w:r w:rsidRPr="00B96EDC">
        <w:rPr>
          <w:rFonts w:ascii="Times New Roman" w:hAnsi="Times New Roman" w:cs="Times New Roman"/>
          <w:color w:val="auto"/>
          <w:sz w:val="24"/>
          <w:szCs w:val="24"/>
          <w:lang w:val="en-GB"/>
        </w:rPr>
        <w:t>47.</w:t>
      </w:r>
      <w:r w:rsidRPr="00B96EDC">
        <w:rPr>
          <w:rFonts w:ascii="Times New Roman" w:hAnsi="Times New Roman" w:cs="Times New Roman"/>
          <w:color w:val="auto"/>
          <w:sz w:val="24"/>
          <w:szCs w:val="24"/>
          <w:lang w:val="en-GB"/>
        </w:rPr>
        <w:tab/>
        <w:t xml:space="preserve">Sexuality education at elementary and secondary schools in the Slovak Republic remains controversial topic and there is no society-wide agreement on its content or on the introduction to educational programmes at schools. </w:t>
      </w:r>
      <w:r>
        <w:rPr>
          <w:rFonts w:ascii="Times New Roman" w:hAnsi="Times New Roman" w:cs="Times New Roman"/>
          <w:color w:val="auto"/>
          <w:sz w:val="24"/>
          <w:szCs w:val="24"/>
          <w:lang w:val="en-GB"/>
        </w:rPr>
        <w:t>According to the Ministry of Education, Science, Research and Sport of the Slovak Republic is sexuality education contained in the education on marriage and parenthood. The education on marriage and parenthood oscillates between abstinent and mixed model of the sexuality education. The curriculum integrates pedagogical, biologic, psychological and social knowledge and aspects of adolescence, sexuality, social relations, marriage, family life, intimate relations</w:t>
      </w:r>
      <w:r w:rsidR="007F7513">
        <w:rPr>
          <w:rFonts w:ascii="Times New Roman" w:hAnsi="Times New Roman" w:cs="Times New Roman"/>
          <w:color w:val="auto"/>
          <w:sz w:val="24"/>
          <w:szCs w:val="24"/>
          <w:lang w:val="en-GB"/>
        </w:rPr>
        <w:t xml:space="preserve"> and about their values in human life.</w:t>
      </w:r>
      <w:r w:rsidR="007F7513">
        <w:rPr>
          <w:rStyle w:val="Odkaznapoznmkupodiarou"/>
          <w:rFonts w:ascii="Times New Roman" w:hAnsi="Times New Roman" w:cs="Times New Roman"/>
          <w:color w:val="auto"/>
          <w:sz w:val="24"/>
          <w:szCs w:val="24"/>
          <w:lang w:val="en-GB"/>
        </w:rPr>
        <w:footnoteReference w:id="41"/>
      </w:r>
    </w:p>
    <w:p w14:paraId="1D92C42A" w14:textId="39CB4241" w:rsidR="007F7513" w:rsidRDefault="007F7513" w:rsidP="000B2CA2">
      <w:pPr>
        <w:spacing w:after="120"/>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48.</w:t>
      </w:r>
      <w:r>
        <w:rPr>
          <w:rFonts w:ascii="Times New Roman" w:hAnsi="Times New Roman" w:cs="Times New Roman"/>
          <w:color w:val="auto"/>
          <w:sz w:val="24"/>
          <w:szCs w:val="24"/>
          <w:lang w:val="en-GB"/>
        </w:rPr>
        <w:tab/>
        <w:t>The Centre considers partial application of holistic approach in the process of creating the curriculum of the education on marriage and parenthood being positive. However, there is lack of human rights based approach being applied. Moreover, the education on marriage and parenthood should reflect current scientific knowledge and take into account recent developments in the society as well as its values. The current curriculum of the education on marriage and parenthood entered into force in 1998 and was updated only twice – in 2010 and 2015. First update introduced topic of commercial violence and sexual exploitation of children and the second</w:t>
      </w:r>
      <w:r w:rsidR="000161AE">
        <w:rPr>
          <w:rFonts w:ascii="Times New Roman" w:hAnsi="Times New Roman" w:cs="Times New Roman"/>
          <w:color w:val="auto"/>
          <w:sz w:val="24"/>
          <w:szCs w:val="24"/>
          <w:lang w:val="en-GB"/>
        </w:rPr>
        <w:t xml:space="preserve"> update reflected the participatory model of school management. In general, it can be concluded that the education on marriage and parenthood has not undergo significant changes and updates from 1998 and does not reflect on the current societal challenges such as number of single parents, divorce rate, impact </w:t>
      </w:r>
      <w:r w:rsidR="000161AE">
        <w:rPr>
          <w:rFonts w:ascii="Times New Roman" w:hAnsi="Times New Roman" w:cs="Times New Roman"/>
          <w:color w:val="auto"/>
          <w:sz w:val="24"/>
          <w:szCs w:val="24"/>
          <w:lang w:val="en-GB"/>
        </w:rPr>
        <w:lastRenderedPageBreak/>
        <w:t xml:space="preserve">of social media on children' behaviour (e.g. cyberbullying), prejudice against members of the LGBTIQ+ communities or spread of hoaxes and misinformation. The education on marriage and parenthood omits topics such as gender equality, sexual harassment, infertility and its treatment, adoption of children as a form of parenthood. </w:t>
      </w:r>
      <w:r w:rsidR="00A10A98">
        <w:rPr>
          <w:rFonts w:ascii="Times New Roman" w:hAnsi="Times New Roman" w:cs="Times New Roman"/>
          <w:color w:val="auto"/>
          <w:sz w:val="24"/>
          <w:szCs w:val="24"/>
          <w:lang w:val="en-GB"/>
        </w:rPr>
        <w:t>Even the list of recommended literature includes monographies and edited books published between 1983 and 1996.</w:t>
      </w:r>
    </w:p>
    <w:p w14:paraId="30C58935" w14:textId="3ABA6F1D" w:rsidR="00A10A98" w:rsidRDefault="00A10A98" w:rsidP="000B2CA2">
      <w:pPr>
        <w:spacing w:after="120"/>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49.</w:t>
      </w:r>
      <w:r>
        <w:rPr>
          <w:rFonts w:ascii="Times New Roman" w:hAnsi="Times New Roman" w:cs="Times New Roman"/>
          <w:color w:val="auto"/>
          <w:sz w:val="24"/>
          <w:szCs w:val="24"/>
          <w:lang w:val="en-GB"/>
        </w:rPr>
        <w:tab/>
        <w:t xml:space="preserve">The Centre considers positive the introduction of education on marriage and parenthood to formal education and establishment of a function of school coordinator for education on marriage and parenthood. However, the format of the education on marriage and parenthood as a voluntary subject, after-school activity or its implementation to wide scale of subject is not very appropriate solution. </w:t>
      </w:r>
    </w:p>
    <w:p w14:paraId="1D45824E" w14:textId="24034D18" w:rsidR="00A10A98" w:rsidRDefault="00A10A98" w:rsidP="000B2CA2">
      <w:pPr>
        <w:spacing w:after="120"/>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50.</w:t>
      </w:r>
      <w:r>
        <w:rPr>
          <w:rFonts w:ascii="Times New Roman" w:hAnsi="Times New Roman" w:cs="Times New Roman"/>
          <w:color w:val="auto"/>
          <w:sz w:val="24"/>
          <w:szCs w:val="24"/>
          <w:lang w:val="en-GB"/>
        </w:rPr>
        <w:tab/>
      </w:r>
      <w:r w:rsidR="0076648C">
        <w:rPr>
          <w:rFonts w:ascii="Times New Roman" w:hAnsi="Times New Roman" w:cs="Times New Roman"/>
          <w:color w:val="auto"/>
          <w:sz w:val="24"/>
          <w:szCs w:val="24"/>
          <w:lang w:val="en-GB"/>
        </w:rPr>
        <w:t>In 2019, t</w:t>
      </w:r>
      <w:r>
        <w:rPr>
          <w:rFonts w:ascii="Times New Roman" w:hAnsi="Times New Roman" w:cs="Times New Roman"/>
          <w:color w:val="auto"/>
          <w:sz w:val="24"/>
          <w:szCs w:val="24"/>
          <w:lang w:val="en-GB"/>
        </w:rPr>
        <w:t xml:space="preserve">he Centre conducted a short survey among schools aiming at mapping the sexuality education or education on marriage and parenthood. The survey was filled by 788 state owned elementary (51%), secondary (34%) and joint (5,6%) schools with even geographical coverage with only minor deviations </w:t>
      </w:r>
      <w:r w:rsidR="0076648C">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w:t>
      </w:r>
      <w:r w:rsidR="0076648C">
        <w:rPr>
          <w:rFonts w:ascii="Times New Roman" w:hAnsi="Times New Roman" w:cs="Times New Roman"/>
          <w:color w:val="auto"/>
          <w:sz w:val="24"/>
          <w:szCs w:val="24"/>
          <w:lang w:val="en-GB"/>
        </w:rPr>
        <w:t>Košice region (18,1%), Prešov region (15,3%), Žilina region (15,2%), Banská Bystrica region (12,6%), Bratislava region (11,4%), Nitra region (9,6%), Trenčín region (9,1%), Trnava region (8,7%). More than 55% of schools were attended by less than 300 pupils, 25,4% of schools were attended by more than 301 to 500 pupils and 17,9% of schools were attended by more than 501 pupils.</w:t>
      </w:r>
    </w:p>
    <w:p w14:paraId="5A58B3A1" w14:textId="77777777" w:rsidR="00056016" w:rsidRDefault="0076648C" w:rsidP="000B2CA2">
      <w:pPr>
        <w:spacing w:after="120"/>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51.</w:t>
      </w:r>
      <w:r>
        <w:rPr>
          <w:rFonts w:ascii="Times New Roman" w:hAnsi="Times New Roman" w:cs="Times New Roman"/>
          <w:color w:val="auto"/>
          <w:sz w:val="24"/>
          <w:szCs w:val="24"/>
          <w:lang w:val="en-GB"/>
        </w:rPr>
        <w:tab/>
        <w:t>According to the survey of the Centre no school is offering sexuality education as a stand-alone subject or voluntary subject or after-school activity. All interviewed schools are implementing the sexuality education as a horizontal topic to various mandatory, voluntary and other subjects. Only 1,7% of interviewed schools stated that the</w:t>
      </w:r>
      <w:r w:rsidR="00056016">
        <w:rPr>
          <w:rFonts w:ascii="Times New Roman" w:hAnsi="Times New Roman" w:cs="Times New Roman"/>
          <w:color w:val="auto"/>
          <w:sz w:val="24"/>
          <w:szCs w:val="24"/>
          <w:lang w:val="en-GB"/>
        </w:rPr>
        <w:t xml:space="preserve">y do not implement sexuality education to any subject. Many schools rely on individual lectures and workshops that take place outside of the formal education and are conducted by external entities. Schools usually cooperate with the centres of pedagogical and psychological support and prevention, regional branches of the Public Health Authority of the Slovak Republic, Police Corps of the Slovak Republic, offices of labour, family and social affairs, the Centre and local clubs of medical trainees and physicians. </w:t>
      </w:r>
    </w:p>
    <w:p w14:paraId="2DB81F0F" w14:textId="706046DD" w:rsidR="0076648C" w:rsidRDefault="00056016" w:rsidP="000B2CA2">
      <w:pPr>
        <w:spacing w:after="120"/>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52.</w:t>
      </w:r>
      <w:r>
        <w:rPr>
          <w:rFonts w:ascii="Times New Roman" w:hAnsi="Times New Roman" w:cs="Times New Roman"/>
          <w:color w:val="auto"/>
          <w:sz w:val="24"/>
          <w:szCs w:val="24"/>
          <w:lang w:val="en-GB"/>
        </w:rPr>
        <w:tab/>
        <w:t>The interviewed schools listed more than 60 individual subject</w:t>
      </w:r>
      <w:r w:rsidR="00C364F1">
        <w:rPr>
          <w:rFonts w:ascii="Times New Roman" w:hAnsi="Times New Roman" w:cs="Times New Roman"/>
          <w:color w:val="auto"/>
          <w:sz w:val="24"/>
          <w:szCs w:val="24"/>
          <w:lang w:val="en-GB"/>
        </w:rPr>
        <w:t xml:space="preserve"> that are part of the state educational programme/ innovative state educational programme,</w:t>
      </w:r>
      <w:r>
        <w:rPr>
          <w:rFonts w:ascii="Times New Roman" w:hAnsi="Times New Roman" w:cs="Times New Roman"/>
          <w:color w:val="auto"/>
          <w:sz w:val="24"/>
          <w:szCs w:val="24"/>
          <w:lang w:val="en-GB"/>
        </w:rPr>
        <w:t xml:space="preserve"> which they implement </w:t>
      </w:r>
      <w:r w:rsidR="00C364F1">
        <w:rPr>
          <w:rFonts w:ascii="Times New Roman" w:hAnsi="Times New Roman" w:cs="Times New Roman"/>
          <w:color w:val="auto"/>
          <w:sz w:val="24"/>
          <w:szCs w:val="24"/>
          <w:lang w:val="en-GB"/>
        </w:rPr>
        <w:t xml:space="preserve">the </w:t>
      </w:r>
      <w:r>
        <w:rPr>
          <w:rFonts w:ascii="Times New Roman" w:hAnsi="Times New Roman" w:cs="Times New Roman"/>
          <w:color w:val="auto"/>
          <w:sz w:val="24"/>
          <w:szCs w:val="24"/>
          <w:lang w:val="en-GB"/>
        </w:rPr>
        <w:t>sexuality education</w:t>
      </w:r>
      <w:r w:rsidR="00C364F1">
        <w:rPr>
          <w:rFonts w:ascii="Times New Roman" w:hAnsi="Times New Roman" w:cs="Times New Roman"/>
          <w:color w:val="auto"/>
          <w:sz w:val="24"/>
          <w:szCs w:val="24"/>
          <w:lang w:val="en-GB"/>
        </w:rPr>
        <w:t xml:space="preserve"> to</w:t>
      </w:r>
      <w:r>
        <w:rPr>
          <w:rFonts w:ascii="Times New Roman" w:hAnsi="Times New Roman" w:cs="Times New Roman"/>
          <w:color w:val="auto"/>
          <w:sz w:val="24"/>
          <w:szCs w:val="24"/>
          <w:lang w:val="en-GB"/>
        </w:rPr>
        <w:t xml:space="preserve">.  </w:t>
      </w:r>
      <w:r w:rsidR="00C364F1">
        <w:rPr>
          <w:rFonts w:ascii="Times New Roman" w:hAnsi="Times New Roman" w:cs="Times New Roman"/>
          <w:color w:val="auto"/>
          <w:sz w:val="24"/>
          <w:szCs w:val="24"/>
          <w:lang w:val="en-GB"/>
        </w:rPr>
        <w:t>The most common subjects to which the sexuality education is implemented to are: biology (73%), ethics (70,6%), civic education (41,9%), religion (32,5%), class hour (10,6%), Slovak literature (4,4%) and sport (3,5%). Other subjects include medical subjects, art subjects, educational subjects, technical subjects, humanities and practical subjects.</w:t>
      </w:r>
    </w:p>
    <w:p w14:paraId="7895B35E" w14:textId="72688B72" w:rsidR="00C364F1" w:rsidRPr="006C476A" w:rsidRDefault="00C364F1" w:rsidP="000B2CA2">
      <w:pPr>
        <w:spacing w:after="120"/>
        <w:jc w:val="both"/>
        <w:rPr>
          <w:rFonts w:ascii="Times New Roman" w:hAnsi="Times New Roman" w:cs="Times New Roman"/>
          <w:color w:val="1F497D" w:themeColor="text2"/>
          <w:sz w:val="24"/>
          <w:szCs w:val="24"/>
          <w:lang w:val="en-GB"/>
        </w:rPr>
      </w:pPr>
      <w:r>
        <w:rPr>
          <w:rFonts w:ascii="Times New Roman" w:hAnsi="Times New Roman" w:cs="Times New Roman"/>
          <w:color w:val="auto"/>
          <w:sz w:val="24"/>
          <w:szCs w:val="24"/>
          <w:lang w:val="en-GB"/>
        </w:rPr>
        <w:t>53.</w:t>
      </w:r>
      <w:r>
        <w:rPr>
          <w:rFonts w:ascii="Times New Roman" w:hAnsi="Times New Roman" w:cs="Times New Roman"/>
          <w:color w:val="auto"/>
          <w:sz w:val="24"/>
          <w:szCs w:val="24"/>
          <w:lang w:val="en-GB"/>
        </w:rPr>
        <w:tab/>
        <w:t xml:space="preserve">More than 83% of interviewed schools stated that they include following topics to the curriculum at their school: prevention of early sexual intercourse, protection against unwanted pregnancies and planned parenthood, protection against sexually transmitted diseases (including HIV). If it comes to sexual orientation (especially homosexuality), only 68% of schools included discussion sexual orientation and related issues to the curriculum. Many schools admit that they discuss such topic only marginally. </w:t>
      </w:r>
      <w:r w:rsidR="006C476A" w:rsidRPr="006C476A">
        <w:rPr>
          <w:rFonts w:ascii="Times New Roman" w:hAnsi="Times New Roman" w:cs="Times New Roman"/>
          <w:color w:val="1F497D" w:themeColor="text2"/>
          <w:sz w:val="24"/>
          <w:szCs w:val="24"/>
          <w:lang w:val="en-GB"/>
        </w:rPr>
        <w:t xml:space="preserve">Some schools are covering this topic only through the topic of </w:t>
      </w:r>
      <w:r w:rsidR="006C476A" w:rsidRPr="006C476A">
        <w:rPr>
          <w:rFonts w:ascii="Times New Roman" w:hAnsi="Times New Roman" w:cs="Times New Roman"/>
          <w:color w:val="1F497D" w:themeColor="text2"/>
          <w:sz w:val="24"/>
          <w:szCs w:val="24"/>
          <w:lang w:val="en-GB"/>
        </w:rPr>
        <w:lastRenderedPageBreak/>
        <w:t xml:space="preserve">discrimination based on sexual orientation and gender equality which are usually a part of external lectures and workshops (e. g. educational activities provided by the Centre). Only 75% of schools include the topic of sexual violence and harassment to the curriculum, usually through external lectures and workshops with Police Corps of the Slovak Republic and </w:t>
      </w:r>
      <w:r w:rsidR="006C476A" w:rsidRPr="006C476A">
        <w:rPr>
          <w:rFonts w:ascii="Times New Roman" w:hAnsi="Times New Roman" w:cs="Times New Roman"/>
          <w:color w:val="1F497D" w:themeColor="text2"/>
          <w:sz w:val="24"/>
          <w:szCs w:val="24"/>
          <w:lang w:val="en-GB"/>
        </w:rPr>
        <w:t>the centres of pedagogical and psyc</w:t>
      </w:r>
      <w:r w:rsidR="006C476A" w:rsidRPr="006C476A">
        <w:rPr>
          <w:rFonts w:ascii="Times New Roman" w:hAnsi="Times New Roman" w:cs="Times New Roman"/>
          <w:color w:val="1F497D" w:themeColor="text2"/>
          <w:sz w:val="24"/>
          <w:szCs w:val="24"/>
          <w:lang w:val="en-GB"/>
        </w:rPr>
        <w:t>hological support and prevention.</w:t>
      </w:r>
    </w:p>
    <w:p w14:paraId="7939990F" w14:textId="7A48F19C" w:rsidR="00864D73" w:rsidRPr="006C476A" w:rsidRDefault="00864D73" w:rsidP="000B2CA2">
      <w:pPr>
        <w:spacing w:after="120"/>
        <w:jc w:val="both"/>
        <w:rPr>
          <w:rFonts w:ascii="Times New Roman" w:hAnsi="Times New Roman" w:cs="Times New Roman"/>
          <w:color w:val="1F497D" w:themeColor="text2"/>
          <w:sz w:val="24"/>
          <w:szCs w:val="24"/>
          <w:lang w:val="en-GB"/>
        </w:rPr>
      </w:pPr>
      <w:r w:rsidRPr="006C476A">
        <w:rPr>
          <w:rFonts w:ascii="Times New Roman" w:hAnsi="Times New Roman" w:cs="Times New Roman"/>
          <w:color w:val="1F497D" w:themeColor="text2"/>
          <w:sz w:val="24"/>
          <w:szCs w:val="24"/>
          <w:lang w:val="en-GB"/>
        </w:rPr>
        <w:t>54.</w:t>
      </w:r>
      <w:r w:rsidRPr="006C476A">
        <w:rPr>
          <w:rFonts w:ascii="Times New Roman" w:hAnsi="Times New Roman" w:cs="Times New Roman"/>
          <w:color w:val="1F497D" w:themeColor="text2"/>
          <w:sz w:val="24"/>
          <w:szCs w:val="24"/>
          <w:lang w:val="en-GB"/>
        </w:rPr>
        <w:tab/>
      </w:r>
      <w:r w:rsidR="006C476A" w:rsidRPr="006C476A">
        <w:rPr>
          <w:rFonts w:ascii="Times New Roman" w:hAnsi="Times New Roman" w:cs="Times New Roman"/>
          <w:color w:val="1F497D" w:themeColor="text2"/>
          <w:sz w:val="24"/>
          <w:szCs w:val="24"/>
          <w:lang w:val="en-GB"/>
        </w:rPr>
        <w:t>Due to the overall understanding of the purpose of the sexuality education, the Centre also focused on the obstacles and issues that must be dealt with by individual schools when implementing sexuality education as a part of the curriculum. Surprisingly, only 3,5% of schools claimed that the school has direct experience with complaints of parents or legal guardians due to the providing sexuality education or its parts at school. Complaints usually concerned general</w:t>
      </w:r>
      <w:r w:rsidR="006C476A">
        <w:rPr>
          <w:rFonts w:ascii="Times New Roman" w:hAnsi="Times New Roman" w:cs="Times New Roman"/>
          <w:color w:val="1F497D" w:themeColor="text2"/>
          <w:sz w:val="24"/>
          <w:szCs w:val="24"/>
          <w:lang w:val="en-GB"/>
        </w:rPr>
        <w:t xml:space="preserve"> disapproval of parents with sexuality education being provided to their children. Many schools prevent such disapproval by obtaining the informed consent of a parent or legal guardian. While some parents claimed that their children are not old/developed enough to participate in sexuality education, some parents claimed that they would prefer to teach their children about such topics within their family.</w:t>
      </w:r>
      <w:bookmarkStart w:id="0" w:name="_GoBack"/>
      <w:bookmarkEnd w:id="0"/>
    </w:p>
    <w:p w14:paraId="4B0D1FF9" w14:textId="77777777" w:rsidR="000161AE" w:rsidRPr="00B96EDC" w:rsidRDefault="000161AE" w:rsidP="000B2CA2">
      <w:pPr>
        <w:spacing w:after="120"/>
        <w:jc w:val="both"/>
        <w:rPr>
          <w:rFonts w:ascii="Times New Roman" w:hAnsi="Times New Roman" w:cs="Times New Roman"/>
          <w:color w:val="auto"/>
          <w:sz w:val="24"/>
          <w:szCs w:val="24"/>
          <w:lang w:val="en-GB"/>
        </w:rPr>
      </w:pPr>
    </w:p>
    <w:p w14:paraId="1E91FEFD" w14:textId="77777777" w:rsidR="0022051D" w:rsidRPr="00B96EDC" w:rsidRDefault="0022051D" w:rsidP="00266472">
      <w:pPr>
        <w:spacing w:after="120"/>
        <w:jc w:val="both"/>
        <w:rPr>
          <w:rFonts w:ascii="Times New Roman" w:hAnsi="Times New Roman" w:cs="Times New Roman"/>
          <w:color w:val="auto"/>
          <w:sz w:val="24"/>
          <w:szCs w:val="24"/>
          <w:lang w:val="en-GB"/>
        </w:rPr>
      </w:pPr>
    </w:p>
    <w:sectPr w:rsidR="0022051D" w:rsidRPr="00B96EDC" w:rsidSect="00484F94">
      <w:headerReference w:type="even" r:id="rId9"/>
      <w:headerReference w:type="default" r:id="rId10"/>
      <w:footerReference w:type="default" r:id="rId11"/>
      <w:headerReference w:type="first" r:id="rId12"/>
      <w:pgSz w:w="11906" w:h="16838" w:code="9"/>
      <w:pgMar w:top="2385"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D21A2" w14:textId="77777777" w:rsidR="00C90026" w:rsidRDefault="00C90026" w:rsidP="008C6389">
      <w:r>
        <w:separator/>
      </w:r>
    </w:p>
  </w:endnote>
  <w:endnote w:type="continuationSeparator" w:id="0">
    <w:p w14:paraId="607B9C84" w14:textId="77777777" w:rsidR="00C90026" w:rsidRDefault="00C90026" w:rsidP="008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00"/>
    <w:family w:val="modern"/>
    <w:notTrueType/>
    <w:pitch w:val="variable"/>
    <w:sig w:usb0="20000007"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6680"/>
      <w:docPartObj>
        <w:docPartGallery w:val="Page Numbers (Bottom of Page)"/>
        <w:docPartUnique/>
      </w:docPartObj>
    </w:sdtPr>
    <w:sdtContent>
      <w:p w14:paraId="51141CD5" w14:textId="56004486" w:rsidR="00C364F1" w:rsidRDefault="00C364F1">
        <w:pPr>
          <w:pStyle w:val="Pta"/>
          <w:jc w:val="center"/>
        </w:pPr>
        <w:r>
          <w:fldChar w:fldCharType="begin"/>
        </w:r>
        <w:r>
          <w:instrText>PAGE   \* MERGEFORMAT</w:instrText>
        </w:r>
        <w:r>
          <w:fldChar w:fldCharType="separate"/>
        </w:r>
        <w:r w:rsidR="006C476A" w:rsidRPr="006C476A">
          <w:rPr>
            <w:noProof/>
            <w:lang w:val="sk-SK"/>
          </w:rPr>
          <w:t>22</w:t>
        </w:r>
        <w:r>
          <w:fldChar w:fldCharType="end"/>
        </w:r>
      </w:p>
    </w:sdtContent>
  </w:sdt>
  <w:p w14:paraId="18DC1342" w14:textId="77777777" w:rsidR="00C364F1" w:rsidRDefault="00C364F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1D12" w14:textId="77777777" w:rsidR="00C90026" w:rsidRDefault="00C90026" w:rsidP="008C6389">
      <w:r>
        <w:separator/>
      </w:r>
    </w:p>
  </w:footnote>
  <w:footnote w:type="continuationSeparator" w:id="0">
    <w:p w14:paraId="75D71AE7" w14:textId="77777777" w:rsidR="00C90026" w:rsidRDefault="00C90026" w:rsidP="008C6389">
      <w:r>
        <w:continuationSeparator/>
      </w:r>
    </w:p>
  </w:footnote>
  <w:footnote w:id="1">
    <w:p w14:paraId="158A47FD" w14:textId="0513A4DF"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OECD/European Observatory on Health Systems and Policies (2019), Slovakia: Country Health Profile 2019, State of Health in the EU, OECD Publishing, Paris/European Observatory on Health Systems and Policies, Brussels.</w:t>
      </w:r>
    </w:p>
  </w:footnote>
  <w:footnote w:id="2">
    <w:p w14:paraId="34DD537E" w14:textId="07881536"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Ibid.</w:t>
      </w:r>
    </w:p>
  </w:footnote>
  <w:footnote w:id="3">
    <w:p w14:paraId="17A8400E" w14:textId="02EFB152"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Statistical Office of the Slovak Republic: 1.1.5 </w:t>
      </w:r>
      <w:r w:rsidRPr="00FD7722">
        <w:rPr>
          <w:rFonts w:ascii="Times New Roman" w:hAnsi="Times New Roman" w:cs="Times New Roman"/>
          <w:bCs/>
          <w:color w:val="auto"/>
          <w:lang w:val="en-GB"/>
        </w:rPr>
        <w:t>Life expectancy for single years of age by sex</w:t>
      </w:r>
      <w:r w:rsidRPr="00FD7722">
        <w:rPr>
          <w:rFonts w:ascii="Times New Roman" w:hAnsi="Times New Roman" w:cs="Times New Roman"/>
          <w:color w:val="auto"/>
          <w:lang w:val="en-GB"/>
        </w:rPr>
        <w:t xml:space="preserve"> (Data show life expectancy of men and women for single years of age.</w:t>
      </w:r>
      <w:r w:rsidRPr="00FD7722">
        <w:rPr>
          <w:rFonts w:ascii="Times New Roman" w:hAnsi="Times New Roman" w:cs="Times New Roman"/>
          <w:color w:val="auto"/>
          <w:shd w:val="clear" w:color="auto" w:fill="FFFFFF"/>
          <w:lang w:val="en-GB"/>
        </w:rPr>
        <w:t xml:space="preserve"> T</w:t>
      </w:r>
      <w:r w:rsidRPr="00FD7722">
        <w:rPr>
          <w:rFonts w:ascii="Times New Roman" w:hAnsi="Times New Roman" w:cs="Times New Roman"/>
          <w:color w:val="auto"/>
          <w:lang w:val="en-GB"/>
        </w:rPr>
        <w:t xml:space="preserve">he calculation based on the results of routine statistical surveys on population change is the product of life tables processing.), DATAcube (2020), </w:t>
      </w:r>
      <w:hyperlink r:id="rId1" w:anchor="!/view/en/VBD_SLOVSTAT/om2021rs/v_om2021rs_00_00_00_en" w:history="1">
        <w:r w:rsidRPr="00FD7722">
          <w:rPr>
            <w:rStyle w:val="Hypertextovprepojenie"/>
            <w:rFonts w:ascii="Times New Roman" w:hAnsi="Times New Roman" w:cs="Times New Roman"/>
            <w:color w:val="auto"/>
            <w:lang w:val="en-GB"/>
          </w:rPr>
          <w:t>http://datacube.statistics.sk/#!/view/en/VBD_SLOVSTAT/om2021rs/v_om2021rs_00_00_00_en</w:t>
        </w:r>
      </w:hyperlink>
      <w:r w:rsidRPr="00FD7722">
        <w:rPr>
          <w:rFonts w:ascii="Times New Roman" w:hAnsi="Times New Roman" w:cs="Times New Roman"/>
          <w:color w:val="auto"/>
          <w:lang w:val="en-GB"/>
        </w:rPr>
        <w:t xml:space="preserve"> </w:t>
      </w:r>
    </w:p>
  </w:footnote>
  <w:footnote w:id="4">
    <w:p w14:paraId="47CA8AD6" w14:textId="33CFA81D"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Statistical Office of the Slovak Republic: 6.4 </w:t>
      </w:r>
      <w:r w:rsidRPr="00FD7722">
        <w:rPr>
          <w:rFonts w:ascii="Times New Roman" w:hAnsi="Times New Roman" w:cs="Times New Roman"/>
          <w:bCs/>
          <w:color w:val="auto"/>
          <w:lang w:val="en-GB"/>
        </w:rPr>
        <w:t>Health life expectancy by selected age</w:t>
      </w:r>
      <w:r w:rsidRPr="00FD7722">
        <w:rPr>
          <w:rFonts w:ascii="Times New Roman" w:hAnsi="Times New Roman" w:cs="Times New Roman"/>
          <w:color w:val="auto"/>
          <w:lang w:val="en-GB"/>
        </w:rPr>
        <w:t xml:space="preserve">, DATAcube (2020), </w:t>
      </w:r>
      <w:hyperlink r:id="rId2" w:anchor="!/view/en/VBD_SK_WIN/as1008rs/v_as1008rs_00_00_00_en" w:history="1">
        <w:r w:rsidRPr="00FD7722">
          <w:rPr>
            <w:rStyle w:val="Hypertextovprepojenie"/>
            <w:rFonts w:ascii="Times New Roman" w:hAnsi="Times New Roman" w:cs="Times New Roman"/>
            <w:color w:val="auto"/>
            <w:lang w:val="en-GB"/>
          </w:rPr>
          <w:t>http://datacube.statistics.sk/#!/view/en/VBD_SK_WIN/as1008rs/v_as1008rs_00_00_00_en</w:t>
        </w:r>
      </w:hyperlink>
      <w:r w:rsidRPr="00FD7722">
        <w:rPr>
          <w:rFonts w:ascii="Times New Roman" w:hAnsi="Times New Roman" w:cs="Times New Roman"/>
          <w:color w:val="auto"/>
          <w:lang w:val="en-GB"/>
        </w:rPr>
        <w:t xml:space="preserve"> </w:t>
      </w:r>
    </w:p>
  </w:footnote>
  <w:footnote w:id="5">
    <w:p w14:paraId="49ED25D9" w14:textId="0FA8131A" w:rsidR="00C364F1" w:rsidRPr="00FD7722" w:rsidRDefault="00C364F1" w:rsidP="00FD7722">
      <w:pPr>
        <w:pStyle w:val="Textpoznmkypodiarou"/>
        <w:jc w:val="both"/>
        <w:rPr>
          <w:rFonts w:ascii="Times New Roman" w:hAnsi="Times New Roman" w:cs="Times New Roman"/>
          <w:bCs/>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EUROSTAT: </w:t>
      </w:r>
      <w:r w:rsidRPr="00FD7722">
        <w:rPr>
          <w:rFonts w:ascii="Times New Roman" w:hAnsi="Times New Roman" w:cs="Times New Roman"/>
          <w:bCs/>
          <w:color w:val="auto"/>
          <w:lang w:val="en-GB"/>
        </w:rPr>
        <w:t xml:space="preserve">Life expectancy by age and sex (demo_mlexpec), 2019, (EU average = 27 member states of the European Union), available online </w:t>
      </w:r>
      <w:hyperlink r:id="rId3" w:history="1">
        <w:r w:rsidRPr="00FD7722">
          <w:rPr>
            <w:rStyle w:val="Hypertextovprepojenie"/>
            <w:rFonts w:ascii="Times New Roman" w:hAnsi="Times New Roman" w:cs="Times New Roman"/>
            <w:bCs/>
            <w:color w:val="auto"/>
            <w:lang w:val="en-GB"/>
          </w:rPr>
          <w:t>https://appsso.eurostat.ec.europa.eu/nui/submitViewTableAction.do</w:t>
        </w:r>
      </w:hyperlink>
      <w:r w:rsidRPr="00FD7722">
        <w:rPr>
          <w:rFonts w:ascii="Times New Roman" w:hAnsi="Times New Roman" w:cs="Times New Roman"/>
          <w:bCs/>
          <w:color w:val="auto"/>
          <w:lang w:val="en-GB"/>
        </w:rPr>
        <w:t xml:space="preserve"> </w:t>
      </w:r>
    </w:p>
  </w:footnote>
  <w:footnote w:id="6">
    <w:p w14:paraId="37EFE8F0" w14:textId="364954BC"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EUROSTAT:</w:t>
      </w:r>
      <w:r w:rsidRPr="00FD7722">
        <w:rPr>
          <w:rFonts w:ascii="Times New Roman" w:hAnsi="Times New Roman" w:cs="Times New Roman"/>
          <w:bCs/>
          <w:color w:val="auto"/>
          <w:lang w:val="en-GB"/>
        </w:rPr>
        <w:t xml:space="preserve"> Standardised deaths rates for avoidable mortality, persons aged less than 75 years per 100 000 inhabitants, 2017, available online: </w:t>
      </w:r>
      <w:hyperlink r:id="rId4" w:history="1">
        <w:r w:rsidRPr="00FD7722">
          <w:rPr>
            <w:rStyle w:val="Hypertextovprepojenie"/>
            <w:rFonts w:ascii="Times New Roman" w:hAnsi="Times New Roman" w:cs="Times New Roman"/>
            <w:bCs/>
            <w:color w:val="auto"/>
            <w:lang w:val="en-GB"/>
          </w:rPr>
          <w:t>https://ec.europa.eu/eurostat/statistics-explained/index.php?title=File:Standardised_deaths_rates_for_avoidable_mortality,_persons_aged_less_than_75_years,_2016_and_2017_(per_100_000_inhabitants)_Health20.png</w:t>
        </w:r>
      </w:hyperlink>
    </w:p>
  </w:footnote>
  <w:footnote w:id="7">
    <w:p w14:paraId="744DDE0F" w14:textId="50F7EA91"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EUROSTAT: </w:t>
      </w:r>
      <w:r w:rsidRPr="00FD7722">
        <w:rPr>
          <w:rFonts w:ascii="Times New Roman" w:hAnsi="Times New Roman" w:cs="Times New Roman"/>
          <w:bCs/>
          <w:color w:val="auto"/>
          <w:lang w:val="en-GB"/>
        </w:rPr>
        <w:t xml:space="preserve">Treatable and preventable mortality of residents by cause and sex (hlthcd_apr), 2019, available online: </w:t>
      </w:r>
      <w:hyperlink r:id="rId5" w:history="1">
        <w:r w:rsidRPr="00FD7722">
          <w:rPr>
            <w:rStyle w:val="Hypertextovprepojenie"/>
            <w:rFonts w:ascii="Times New Roman" w:hAnsi="Times New Roman" w:cs="Times New Roman"/>
            <w:bCs/>
            <w:color w:val="auto"/>
            <w:lang w:val="en-GB"/>
          </w:rPr>
          <w:t>https://appsso.eurostat.ec.europa.eu/nui/submitViewTableAction.do</w:t>
        </w:r>
      </w:hyperlink>
      <w:r w:rsidRPr="00FD7722">
        <w:rPr>
          <w:rFonts w:ascii="Times New Roman" w:hAnsi="Times New Roman" w:cs="Times New Roman"/>
          <w:bCs/>
          <w:color w:val="auto"/>
          <w:lang w:val="en-GB"/>
        </w:rPr>
        <w:t xml:space="preserve"> </w:t>
      </w:r>
    </w:p>
  </w:footnote>
  <w:footnote w:id="8">
    <w:p w14:paraId="34033D4E" w14:textId="59F5C301"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National Centre for Medical Information: “Health Yearbook for the Year 2019” (2020) available online in Slovak: </w:t>
      </w:r>
      <w:hyperlink r:id="rId6" w:history="1">
        <w:r w:rsidRPr="00FD7722">
          <w:rPr>
            <w:rStyle w:val="Hypertextovprepojenie"/>
            <w:rFonts w:ascii="Times New Roman" w:hAnsi="Times New Roman" w:cs="Times New Roman"/>
            <w:color w:val="auto"/>
            <w:lang w:val="en-GB"/>
          </w:rPr>
          <w:t>http://www.nczisk.sk/Statisticke_vystupy/Zdravotnicka_rocenka/Pages/default.aspx</w:t>
        </w:r>
      </w:hyperlink>
      <w:r w:rsidRPr="00FD7722">
        <w:rPr>
          <w:rFonts w:ascii="Times New Roman" w:hAnsi="Times New Roman" w:cs="Times New Roman"/>
          <w:color w:val="auto"/>
          <w:lang w:val="en-GB"/>
        </w:rPr>
        <w:t xml:space="preserve"> </w:t>
      </w:r>
    </w:p>
  </w:footnote>
  <w:footnote w:id="9">
    <w:p w14:paraId="426F65C4" w14:textId="61EFE24C"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Ibid.</w:t>
      </w:r>
    </w:p>
  </w:footnote>
  <w:footnote w:id="10">
    <w:p w14:paraId="58421F47" w14:textId="4C0581F4"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United Nations Committee on Economic, Social and Cultural Rights: Concluding Observations on the third periodic report of Slovakia, (2019) E/C.12/SVK/CO/3, available online at: </w:t>
      </w:r>
      <w:hyperlink r:id="rId7" w:history="1">
        <w:r w:rsidRPr="00FD7722">
          <w:rPr>
            <w:rStyle w:val="Hypertextovprepojenie"/>
            <w:rFonts w:ascii="Times New Roman" w:hAnsi="Times New Roman" w:cs="Times New Roman"/>
            <w:color w:val="auto"/>
            <w:lang w:val="en-GB"/>
          </w:rPr>
          <w:t>https://tbinternet.ohchr.org/_layouts/15/TreatyBodyExternal/countries.aspx?CountryCode=SVK&amp;Lang=EN</w:t>
        </w:r>
      </w:hyperlink>
      <w:r w:rsidRPr="00FD7722">
        <w:rPr>
          <w:rFonts w:ascii="Times New Roman" w:hAnsi="Times New Roman" w:cs="Times New Roman"/>
          <w:color w:val="auto"/>
          <w:lang w:val="en-GB"/>
        </w:rPr>
        <w:t xml:space="preserve"> </w:t>
      </w:r>
    </w:p>
  </w:footnote>
  <w:footnote w:id="11">
    <w:p w14:paraId="352F9F79" w14:textId="4649CF4B"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Ibid.</w:t>
      </w:r>
    </w:p>
  </w:footnote>
  <w:footnote w:id="12">
    <w:p w14:paraId="09EDBB92" w14:textId="6C7B13CF"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OECD/European Observatory on Health Systems and Policies (2019), Slovakia: Country Health Profile 2019, State of Health in the EU, OECD Publishing, Paris/European Observatory on Health Systems and Policies, Brussels.</w:t>
      </w:r>
    </w:p>
  </w:footnote>
  <w:footnote w:id="13">
    <w:p w14:paraId="36DDEBE7" w14:textId="10C751AC"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Ministry of Finance of the Slovak Republic – Value for Money Division: Healthcare Spending Review II (2019) available online at: </w:t>
      </w:r>
      <w:hyperlink r:id="rId8" w:history="1">
        <w:r w:rsidRPr="00FD7722">
          <w:rPr>
            <w:rStyle w:val="Hypertextovprepojenie"/>
            <w:rFonts w:ascii="Times New Roman" w:hAnsi="Times New Roman" w:cs="Times New Roman"/>
            <w:color w:val="auto"/>
            <w:lang w:val="en-GB"/>
          </w:rPr>
          <w:t>https://www.mfsr.sk/files/archiv/77/HealthcareSpendingReview2_EN.pdf</w:t>
        </w:r>
      </w:hyperlink>
      <w:r w:rsidRPr="00FD7722">
        <w:rPr>
          <w:rFonts w:ascii="Times New Roman" w:hAnsi="Times New Roman" w:cs="Times New Roman"/>
          <w:color w:val="auto"/>
          <w:lang w:val="en-GB"/>
        </w:rPr>
        <w:t xml:space="preserve"> </w:t>
      </w:r>
    </w:p>
  </w:footnote>
  <w:footnote w:id="14">
    <w:p w14:paraId="54EB9926" w14:textId="4EBE41E2"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National Centre for Medical Information: „Health Yearbook of the Slovak Republic for the Year 2019“ (2020), available online in Slovak: </w:t>
      </w:r>
      <w:hyperlink r:id="rId9" w:history="1">
        <w:r w:rsidRPr="00FD7722">
          <w:rPr>
            <w:rStyle w:val="Hypertextovprepojenie"/>
            <w:rFonts w:ascii="Times New Roman" w:hAnsi="Times New Roman" w:cs="Times New Roman"/>
            <w:color w:val="auto"/>
            <w:lang w:val="en-GB"/>
          </w:rPr>
          <w:t>http://www.nczisk.sk/Statisticke_vystupy/Zdravotnicka_rocenka/Pages/default.aspx</w:t>
        </w:r>
      </w:hyperlink>
    </w:p>
  </w:footnote>
  <w:footnote w:id="15">
    <w:p w14:paraId="11AD565D" w14:textId="2D701319"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OECD/European Observatory on Health Systems and Policies (2019), Slovakia: Country Health Profile 2019, State of Health in the EU, OECD Publishing, Paris/European Observatory on Health Systems and Policies, Brussels.</w:t>
      </w:r>
    </w:p>
  </w:footnote>
  <w:footnote w:id="16">
    <w:p w14:paraId="377ED97A" w14:textId="1715F3CF"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Ibid.</w:t>
      </w:r>
    </w:p>
  </w:footnote>
  <w:footnote w:id="17">
    <w:p w14:paraId="77335E62" w14:textId="04A8EE03"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Ibid.</w:t>
      </w:r>
    </w:p>
  </w:footnote>
  <w:footnote w:id="18">
    <w:p w14:paraId="0A8FA395" w14:textId="10A3545E"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Ibid.</w:t>
      </w:r>
    </w:p>
  </w:footnote>
  <w:footnote w:id="19">
    <w:p w14:paraId="5E6B2B39" w14:textId="77777777"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National Centre for Medical Information: „Health Yearbook of the Slovak Republic for the Year 2019“ (2020), available online in Slovak: </w:t>
      </w:r>
      <w:hyperlink r:id="rId10" w:history="1">
        <w:r w:rsidRPr="00FD7722">
          <w:rPr>
            <w:rStyle w:val="Hypertextovprepojenie"/>
            <w:rFonts w:ascii="Times New Roman" w:hAnsi="Times New Roman" w:cs="Times New Roman"/>
            <w:color w:val="auto"/>
            <w:lang w:val="en-GB"/>
          </w:rPr>
          <w:t>http://www.nczisk.sk/Statisticke_vystupy/Zdravotnicka_rocenka/Pages/default.aspx</w:t>
        </w:r>
      </w:hyperlink>
    </w:p>
    <w:p w14:paraId="5BFAEB1D" w14:textId="4E66D215" w:rsidR="00C364F1" w:rsidRPr="00FD7722" w:rsidRDefault="00C364F1" w:rsidP="00FD7722">
      <w:pPr>
        <w:pStyle w:val="Textpoznmkypodiarou"/>
        <w:jc w:val="both"/>
        <w:rPr>
          <w:rFonts w:ascii="Times New Roman" w:hAnsi="Times New Roman" w:cs="Times New Roman"/>
          <w:color w:val="auto"/>
          <w:lang w:val="en-GB"/>
        </w:rPr>
      </w:pPr>
    </w:p>
  </w:footnote>
  <w:footnote w:id="20">
    <w:p w14:paraId="34F4AA58" w14:textId="54B60DC7"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Proposal to Terminate the Implementation of Measures Included in the National Programme for Mental Health for the Years 2019 – 2020 (LP/2020/401), available online in Slovak: </w:t>
      </w:r>
      <w:hyperlink r:id="rId11" w:history="1">
        <w:r w:rsidRPr="00FD7722">
          <w:rPr>
            <w:rStyle w:val="Hypertextovprepojenie"/>
            <w:rFonts w:ascii="Times New Roman" w:hAnsi="Times New Roman" w:cs="Times New Roman"/>
            <w:color w:val="auto"/>
            <w:lang w:val="en-GB"/>
          </w:rPr>
          <w:t>https://www.slov-lex.sk/legislativne-procesy/-/SK/dokumenty/LP-2020-401</w:t>
        </w:r>
      </w:hyperlink>
      <w:r w:rsidRPr="00FD7722">
        <w:rPr>
          <w:rFonts w:ascii="Times New Roman" w:hAnsi="Times New Roman" w:cs="Times New Roman"/>
          <w:color w:val="auto"/>
          <w:lang w:val="en-GB"/>
        </w:rPr>
        <w:t xml:space="preserve"> </w:t>
      </w:r>
    </w:p>
  </w:footnote>
  <w:footnote w:id="21">
    <w:p w14:paraId="54842092" w14:textId="6EF0E524"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Ministry of Finance of the Slovak Republic: Recovery Plan (2021) available online in Slovak: </w:t>
      </w:r>
      <w:hyperlink r:id="rId12" w:history="1">
        <w:r w:rsidRPr="00FD7722">
          <w:rPr>
            <w:rStyle w:val="Hypertextovprepojenie"/>
            <w:rFonts w:ascii="Times New Roman" w:hAnsi="Times New Roman" w:cs="Times New Roman"/>
            <w:color w:val="auto"/>
            <w:lang w:val="en-GB"/>
          </w:rPr>
          <w:t>https://www.planobnovy.sk/kompletny-plan-obnovy/</w:t>
        </w:r>
      </w:hyperlink>
      <w:r w:rsidRPr="00FD7722">
        <w:rPr>
          <w:rFonts w:ascii="Times New Roman" w:hAnsi="Times New Roman" w:cs="Times New Roman"/>
          <w:color w:val="auto"/>
          <w:lang w:val="en-GB"/>
        </w:rPr>
        <w:t xml:space="preserve"> </w:t>
      </w:r>
    </w:p>
  </w:footnote>
  <w:footnote w:id="22">
    <w:p w14:paraId="31B90A58" w14:textId="633D52FF"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Public Health Authority of the Slovak Republic: „Report: Counselling Centres for Promotion and Protection of Health in 2019“ (2020) available online in Slovak: </w:t>
      </w:r>
      <w:hyperlink r:id="rId13" w:history="1">
        <w:r w:rsidRPr="00FD7722">
          <w:rPr>
            <w:rStyle w:val="Hypertextovprepojenie"/>
            <w:rFonts w:ascii="Times New Roman" w:hAnsi="Times New Roman" w:cs="Times New Roman"/>
            <w:color w:val="auto"/>
            <w:lang w:val="en-GB"/>
          </w:rPr>
          <w:t>https://www.uvzsr.sk/docs/info/podpora/Poradenske_centra_ochrany_a_podpory_zdravia_v_SR_2019.pdf</w:t>
        </w:r>
      </w:hyperlink>
      <w:r w:rsidRPr="00FD7722">
        <w:rPr>
          <w:rFonts w:ascii="Times New Roman" w:hAnsi="Times New Roman" w:cs="Times New Roman"/>
          <w:color w:val="auto"/>
          <w:lang w:val="en-GB"/>
        </w:rPr>
        <w:t xml:space="preserve"> </w:t>
      </w:r>
    </w:p>
  </w:footnote>
  <w:footnote w:id="23">
    <w:p w14:paraId="75577736" w14:textId="38FD8440"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Statistical Office of the Slovak Republic: 3.1.1 Maternal Mortality Ratio (Figures in the table refer to the number of female deaths related to pregnancy, childbirth and the puerperium per 100,000 live births), DATAcube (2020), available online at:</w:t>
      </w:r>
      <w:hyperlink r:id="rId14" w:anchor="!/view/en/VBD_SK_WIN/om3405rr/v_om3405rr_03_01_01_en" w:history="1">
        <w:r w:rsidRPr="00FD7722">
          <w:rPr>
            <w:rStyle w:val="Hypertextovprepojenie"/>
            <w:rFonts w:ascii="Times New Roman" w:hAnsi="Times New Roman" w:cs="Times New Roman"/>
            <w:color w:val="auto"/>
            <w:lang w:val="en-GB"/>
          </w:rPr>
          <w:t>http://datacube.statistics.sk/#!/view/en/VBD_SK_WIN/om3405rr/v_om3405rr_03_01_01_en</w:t>
        </w:r>
      </w:hyperlink>
      <w:r w:rsidRPr="00FD7722">
        <w:rPr>
          <w:rFonts w:ascii="Times New Roman" w:hAnsi="Times New Roman" w:cs="Times New Roman"/>
          <w:color w:val="auto"/>
          <w:lang w:val="en-GB"/>
        </w:rPr>
        <w:t>.</w:t>
      </w:r>
    </w:p>
  </w:footnote>
  <w:footnote w:id="24">
    <w:p w14:paraId="344D75CD" w14:textId="239B6844"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Official website of the non-governmental organisation „Ženské kruhy“: </w:t>
      </w:r>
      <w:hyperlink r:id="rId15" w:history="1">
        <w:r w:rsidRPr="00FD7722">
          <w:rPr>
            <w:rStyle w:val="Hypertextovprepojenie"/>
            <w:rFonts w:ascii="Times New Roman" w:hAnsi="Times New Roman" w:cs="Times New Roman"/>
            <w:color w:val="auto"/>
            <w:lang w:val="en-GB"/>
          </w:rPr>
          <w:t>https://zenskekruhy.sk/</w:t>
        </w:r>
      </w:hyperlink>
      <w:r w:rsidRPr="00FD7722">
        <w:rPr>
          <w:rFonts w:ascii="Times New Roman" w:hAnsi="Times New Roman" w:cs="Times New Roman"/>
          <w:color w:val="auto"/>
          <w:lang w:val="en-GB"/>
        </w:rPr>
        <w:t xml:space="preserve"> </w:t>
      </w:r>
    </w:p>
  </w:footnote>
  <w:footnote w:id="25">
    <w:p w14:paraId="2315A247" w14:textId="760E08C9"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Official website of the non-governmental organisation “Občan, demokracia a zodpovednosť”: </w:t>
      </w:r>
      <w:hyperlink r:id="rId16" w:history="1">
        <w:r w:rsidRPr="00FD7722">
          <w:rPr>
            <w:rStyle w:val="Hypertextovprepojenie"/>
            <w:rFonts w:ascii="Times New Roman" w:hAnsi="Times New Roman" w:cs="Times New Roman"/>
            <w:color w:val="auto"/>
            <w:lang w:val="en-GB"/>
          </w:rPr>
          <w:t>http://odz.sk/</w:t>
        </w:r>
      </w:hyperlink>
      <w:r w:rsidRPr="00FD7722">
        <w:rPr>
          <w:rFonts w:ascii="Times New Roman" w:hAnsi="Times New Roman" w:cs="Times New Roman"/>
          <w:color w:val="auto"/>
          <w:lang w:val="en-GB"/>
        </w:rPr>
        <w:t xml:space="preserve"> </w:t>
      </w:r>
    </w:p>
  </w:footnote>
  <w:footnote w:id="26">
    <w:p w14:paraId="7FC4DCEE" w14:textId="5F4D7BF0"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w:t>
      </w:r>
      <w:r w:rsidRPr="00FD7722">
        <w:rPr>
          <w:rFonts w:ascii="Times New Roman" w:hAnsi="Times New Roman" w:cs="Times New Roman"/>
          <w:bCs/>
          <w:color w:val="auto"/>
          <w:lang w:val="en-GB"/>
        </w:rPr>
        <w:t xml:space="preserve">Janka Debrecéniová, Miroslava Hlinčíková, Ema Hrešanová, Zuzana Krišková, Zuzana Lafférsová, Martina Sekulová: Women, Mothers, Bodies II: Systemic Aspects of Violations of Women's Human Rights in Birth Care Provided in Healthcare Facilities in Slovakia (Bratislava, 2016), summary of the publication available online: </w:t>
      </w:r>
      <w:hyperlink r:id="rId17" w:history="1">
        <w:r w:rsidRPr="00FD7722">
          <w:rPr>
            <w:rStyle w:val="Hypertextovprepojenie"/>
            <w:rFonts w:ascii="Times New Roman" w:hAnsi="Times New Roman" w:cs="Times New Roman"/>
            <w:bCs/>
            <w:color w:val="auto"/>
            <w:lang w:val="en-GB"/>
          </w:rPr>
          <w:t>http://odz.sk/en/wp-content/uploads/ZMT2_SUMMARY_EN_final.pdf</w:t>
        </w:r>
      </w:hyperlink>
      <w:r w:rsidRPr="00FD7722">
        <w:rPr>
          <w:rFonts w:ascii="Times New Roman" w:hAnsi="Times New Roman" w:cs="Times New Roman"/>
          <w:bCs/>
          <w:color w:val="auto"/>
          <w:lang w:val="en-GB"/>
        </w:rPr>
        <w:t xml:space="preserve"> </w:t>
      </w:r>
    </w:p>
  </w:footnote>
  <w:footnote w:id="27">
    <w:p w14:paraId="73A3DB90" w14:textId="4A51AA25"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Ibid.</w:t>
      </w:r>
    </w:p>
  </w:footnote>
  <w:footnote w:id="28">
    <w:p w14:paraId="70D2D28C" w14:textId="0D1829B8"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E.g. Concluding observations of the UN Committee for Economic, Social and Cultural Rights to the third periodic report of the Slovak Republic dated 14 November 2019, point 41; Open letter of the Commissioner for Human Rights to the National Council of the Slovak Republic dated 22 November 2019.</w:t>
      </w:r>
    </w:p>
  </w:footnote>
  <w:footnote w:id="29">
    <w:p w14:paraId="5D80D33E" w14:textId="3EFF1206"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United Nations Human Rights Council, Report of the Universal Periodic Review Working Group: Slovakia dated 16 April 2019, recommendations 121.142 and 121.143.</w:t>
      </w:r>
    </w:p>
  </w:footnote>
  <w:footnote w:id="30">
    <w:p w14:paraId="556F2B8F" w14:textId="7AC052A9"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United Nations Committee for Rights of Children, Concluding Observation to Joint Third and Fifth Periodical Report of Slovakia date</w:t>
      </w:r>
      <w:r>
        <w:rPr>
          <w:rFonts w:ascii="Times New Roman" w:hAnsi="Times New Roman" w:cs="Times New Roman"/>
          <w:color w:val="auto"/>
          <w:lang w:val="en-GB"/>
        </w:rPr>
        <w:t>d 20 July 2016, recommendation N</w:t>
      </w:r>
      <w:r w:rsidRPr="00FD7722">
        <w:rPr>
          <w:rFonts w:ascii="Times New Roman" w:hAnsi="Times New Roman" w:cs="Times New Roman"/>
          <w:color w:val="auto"/>
          <w:lang w:val="en-GB"/>
        </w:rPr>
        <w:t>o. 41(a)</w:t>
      </w:r>
    </w:p>
  </w:footnote>
  <w:footnote w:id="31">
    <w:p w14:paraId="35235F3C" w14:textId="5310EEFA"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European Parliamentary Forum for Sexual and Reproductive Rights: “</w:t>
      </w:r>
      <w:r w:rsidRPr="00FD7722">
        <w:rPr>
          <w:rFonts w:ascii="Times New Roman" w:hAnsi="Times New Roman" w:cs="Times New Roman"/>
          <w:i/>
          <w:color w:val="auto"/>
          <w:lang w:val="en-GB"/>
        </w:rPr>
        <w:t>European Contraception Policy Atlas 2019</w:t>
      </w:r>
      <w:r w:rsidRPr="00FD7722">
        <w:rPr>
          <w:rFonts w:ascii="Times New Roman" w:hAnsi="Times New Roman" w:cs="Times New Roman"/>
          <w:color w:val="auto"/>
          <w:lang w:val="en-GB"/>
        </w:rPr>
        <w:t xml:space="preserve">“ available online: </w:t>
      </w:r>
      <w:hyperlink r:id="rId18" w:history="1">
        <w:r w:rsidRPr="00FD7722">
          <w:rPr>
            <w:rStyle w:val="Hypertextovprepojenie"/>
            <w:rFonts w:ascii="Times New Roman" w:hAnsi="Times New Roman" w:cs="Times New Roman"/>
            <w:color w:val="auto"/>
            <w:lang w:val="en-GB"/>
          </w:rPr>
          <w:t>https://www.epfweb.org/node/89</w:t>
        </w:r>
      </w:hyperlink>
      <w:r w:rsidRPr="00FD7722">
        <w:rPr>
          <w:rFonts w:ascii="Times New Roman" w:hAnsi="Times New Roman" w:cs="Times New Roman"/>
          <w:color w:val="auto"/>
          <w:lang w:val="en-GB"/>
        </w:rPr>
        <w:t xml:space="preserve">. </w:t>
      </w:r>
    </w:p>
  </w:footnote>
  <w:footnote w:id="32">
    <w:p w14:paraId="44824BE4" w14:textId="7B55E470" w:rsidR="00C364F1" w:rsidRPr="00FD7722" w:rsidRDefault="00C364F1" w:rsidP="00FD7722">
      <w:pPr>
        <w:pStyle w:val="Textpoznmkypodiarou"/>
        <w:jc w:val="both"/>
        <w:rPr>
          <w:rFonts w:ascii="Times New Roman" w:hAnsi="Times New Roman" w:cs="Times New Roman"/>
          <w:color w:val="auto"/>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Information provided by the Ministry of Health of the Slovak Republic based on the Act on the Free Access to Information (6 March 2020).</w:t>
      </w:r>
    </w:p>
  </w:footnote>
  <w:footnote w:id="33">
    <w:p w14:paraId="4CC568AD" w14:textId="763708E5" w:rsidR="00C364F1" w:rsidRPr="00FD7722" w:rsidRDefault="00C364F1" w:rsidP="00FD7722">
      <w:pPr>
        <w:pStyle w:val="Textpoznmkypodiarou"/>
        <w:jc w:val="both"/>
        <w:rPr>
          <w:rFonts w:ascii="Times New Roman" w:hAnsi="Times New Roman" w:cs="Times New Roman"/>
          <w:lang w:val="en-GB"/>
        </w:rPr>
      </w:pPr>
      <w:r w:rsidRPr="00FD7722">
        <w:rPr>
          <w:rStyle w:val="Odkaznapoznmkupodiarou"/>
          <w:rFonts w:ascii="Times New Roman" w:hAnsi="Times New Roman" w:cs="Times New Roman"/>
          <w:color w:val="auto"/>
          <w:lang w:val="en-GB"/>
        </w:rPr>
        <w:footnoteRef/>
      </w:r>
      <w:r w:rsidRPr="00FD7722">
        <w:rPr>
          <w:rFonts w:ascii="Times New Roman" w:hAnsi="Times New Roman" w:cs="Times New Roman"/>
          <w:color w:val="auto"/>
          <w:lang w:val="en-GB"/>
        </w:rPr>
        <w:t xml:space="preserve"> Ministry of Health of the Slovak Republic: „ Ministry of Health of the Slovak Republic is respecting the solidarity system of the public health insurance (press releases)“ 30 March 2011 available in Slovak: </w:t>
      </w:r>
      <w:hyperlink r:id="rId19" w:history="1">
        <w:r w:rsidRPr="00FD7722">
          <w:rPr>
            <w:rStyle w:val="Hypertextovprepojenie"/>
            <w:rFonts w:ascii="Times New Roman" w:hAnsi="Times New Roman" w:cs="Times New Roman"/>
            <w:color w:val="auto"/>
            <w:lang w:val="en-GB"/>
          </w:rPr>
          <w:t>https://www.health.gov.sk/Clanok?mz-sr-respektuje-solidarny-princip-zdravotneho-poistenia</w:t>
        </w:r>
      </w:hyperlink>
      <w:r w:rsidRPr="00FD7722">
        <w:rPr>
          <w:rFonts w:ascii="Times New Roman" w:hAnsi="Times New Roman" w:cs="Times New Roman"/>
          <w:color w:val="auto"/>
          <w:lang w:val="en-GB"/>
        </w:rPr>
        <w:t xml:space="preserve"> </w:t>
      </w:r>
    </w:p>
  </w:footnote>
  <w:footnote w:id="34">
    <w:p w14:paraId="72B846C0" w14:textId="2D435863" w:rsidR="00C364F1" w:rsidRPr="0095085F" w:rsidRDefault="00C364F1" w:rsidP="00FD7722">
      <w:pPr>
        <w:pStyle w:val="Textpoznmkypodiarou"/>
        <w:jc w:val="both"/>
        <w:rPr>
          <w:rFonts w:ascii="Times New Roman" w:hAnsi="Times New Roman" w:cs="Times New Roman"/>
          <w:color w:val="auto"/>
          <w:lang w:val="sk-SK"/>
        </w:rPr>
      </w:pPr>
      <w:r w:rsidRPr="0095085F">
        <w:rPr>
          <w:rStyle w:val="Odkaznapoznmkupodiarou"/>
          <w:rFonts w:ascii="Times New Roman" w:hAnsi="Times New Roman" w:cs="Times New Roman"/>
          <w:color w:val="auto"/>
        </w:rPr>
        <w:footnoteRef/>
      </w:r>
      <w:r w:rsidRPr="0095085F">
        <w:rPr>
          <w:rFonts w:ascii="Times New Roman" w:hAnsi="Times New Roman" w:cs="Times New Roman"/>
          <w:color w:val="auto"/>
        </w:rPr>
        <w:t xml:space="preserve"> </w:t>
      </w:r>
      <w:r w:rsidRPr="0095085F">
        <w:rPr>
          <w:rFonts w:ascii="Times New Roman" w:hAnsi="Times New Roman" w:cs="Times New Roman"/>
          <w:color w:val="auto"/>
          <w:lang w:val="en-GB"/>
        </w:rPr>
        <w:t xml:space="preserve">Ministry of Health of the Slovak Republic: „ Ministry of Health of the Slovak Republic is respecting the solidarity system of the public health insurance (press releases)“ 30 March 2011 available in Slovak: </w:t>
      </w:r>
      <w:hyperlink r:id="rId20" w:history="1">
        <w:r w:rsidRPr="0095085F">
          <w:rPr>
            <w:rStyle w:val="Hypertextovprepojenie"/>
            <w:rFonts w:ascii="Times New Roman" w:hAnsi="Times New Roman" w:cs="Times New Roman"/>
            <w:color w:val="auto"/>
            <w:lang w:val="en-GB"/>
          </w:rPr>
          <w:t>https://www.health.gov.sk/Clanok?mz-sr-respektuje-solidarny-princip-zdravotneho-poistenia</w:t>
        </w:r>
      </w:hyperlink>
    </w:p>
  </w:footnote>
  <w:footnote w:id="35">
    <w:p w14:paraId="200B460A" w14:textId="5F27D905" w:rsidR="00C364F1" w:rsidRPr="0095085F" w:rsidRDefault="00C364F1" w:rsidP="00FD7722">
      <w:pPr>
        <w:pStyle w:val="Textpoznmkypodiarou"/>
        <w:jc w:val="both"/>
        <w:rPr>
          <w:rFonts w:ascii="Times New Roman" w:hAnsi="Times New Roman" w:cs="Times New Roman"/>
          <w:color w:val="auto"/>
          <w:lang w:val="sk-SK"/>
        </w:rPr>
      </w:pPr>
      <w:r w:rsidRPr="0095085F">
        <w:rPr>
          <w:rStyle w:val="Odkaznapoznmkupodiarou"/>
          <w:rFonts w:ascii="Times New Roman" w:hAnsi="Times New Roman" w:cs="Times New Roman"/>
          <w:color w:val="auto"/>
        </w:rPr>
        <w:footnoteRef/>
      </w:r>
      <w:r w:rsidRPr="0095085F">
        <w:rPr>
          <w:rFonts w:ascii="Times New Roman" w:hAnsi="Times New Roman" w:cs="Times New Roman"/>
          <w:color w:val="auto"/>
        </w:rPr>
        <w:t xml:space="preserve"> </w:t>
      </w:r>
      <w:r w:rsidRPr="0095085F">
        <w:rPr>
          <w:rFonts w:ascii="Times New Roman" w:hAnsi="Times New Roman" w:cs="Times New Roman"/>
          <w:color w:val="auto"/>
          <w:lang w:val="sk-SK"/>
        </w:rPr>
        <w:t>Ibid.</w:t>
      </w:r>
    </w:p>
  </w:footnote>
  <w:footnote w:id="36">
    <w:p w14:paraId="3CB61FF3" w14:textId="24DF0AF3" w:rsidR="00C364F1" w:rsidRPr="0095085F" w:rsidRDefault="00C364F1">
      <w:pPr>
        <w:pStyle w:val="Textpoznmkypodiarou"/>
        <w:rPr>
          <w:lang w:val="sk-SK"/>
        </w:rPr>
      </w:pPr>
      <w:r w:rsidRPr="0095085F">
        <w:rPr>
          <w:rStyle w:val="Odkaznapoznmkupodiarou"/>
          <w:rFonts w:ascii="Times New Roman" w:hAnsi="Times New Roman" w:cs="Times New Roman"/>
          <w:color w:val="auto"/>
        </w:rPr>
        <w:footnoteRef/>
      </w:r>
      <w:r w:rsidRPr="0095085F">
        <w:rPr>
          <w:rFonts w:ascii="Times New Roman" w:hAnsi="Times New Roman" w:cs="Times New Roman"/>
          <w:color w:val="auto"/>
        </w:rPr>
        <w:t xml:space="preserve"> National Centre for Medical Information: “The Activities of OBYN Outpatient Centres in the Slovak Republic in 2</w:t>
      </w:r>
      <w:r w:rsidR="004A2479">
        <w:rPr>
          <w:rFonts w:ascii="Times New Roman" w:hAnsi="Times New Roman" w:cs="Times New Roman"/>
          <w:color w:val="auto"/>
        </w:rPr>
        <w:t>018” (2019).</w:t>
      </w:r>
    </w:p>
  </w:footnote>
  <w:footnote w:id="37">
    <w:p w14:paraId="48521640" w14:textId="25BFFE09" w:rsidR="00C364F1" w:rsidRPr="00861D7F" w:rsidRDefault="00C364F1" w:rsidP="00861D7F">
      <w:pPr>
        <w:pStyle w:val="Textpoznmkypodiarou"/>
        <w:jc w:val="both"/>
        <w:rPr>
          <w:rFonts w:ascii="Times New Roman" w:hAnsi="Times New Roman" w:cs="Times New Roman"/>
          <w:lang w:val="sk-SK"/>
        </w:rPr>
      </w:pPr>
      <w:r w:rsidRPr="00861D7F">
        <w:rPr>
          <w:rStyle w:val="Odkaznapoznmkupodiarou"/>
          <w:rFonts w:ascii="Times New Roman" w:hAnsi="Times New Roman" w:cs="Times New Roman"/>
          <w:color w:val="auto"/>
        </w:rPr>
        <w:footnoteRef/>
      </w:r>
      <w:r w:rsidRPr="00861D7F">
        <w:rPr>
          <w:rFonts w:ascii="Times New Roman" w:hAnsi="Times New Roman" w:cs="Times New Roman"/>
          <w:color w:val="auto"/>
        </w:rPr>
        <w:t xml:space="preserve"> </w:t>
      </w:r>
      <w:r w:rsidRPr="00861D7F">
        <w:rPr>
          <w:rFonts w:ascii="Times New Roman" w:hAnsi="Times New Roman" w:cs="Times New Roman"/>
          <w:color w:val="auto"/>
          <w:lang w:val="en-GB"/>
        </w:rPr>
        <w:t>Information provided by the Ministry of Health of the Slovak Republic based on the Act on the Free Access to Information (6 March 2020).</w:t>
      </w:r>
    </w:p>
  </w:footnote>
  <w:footnote w:id="38">
    <w:p w14:paraId="52CD8EFF" w14:textId="4C57508B" w:rsidR="00C364F1" w:rsidRPr="00FC747B" w:rsidRDefault="00C364F1" w:rsidP="00FC747B">
      <w:pPr>
        <w:pStyle w:val="Textpoznmkypodiarou"/>
        <w:jc w:val="both"/>
        <w:rPr>
          <w:rFonts w:ascii="Times New Roman" w:hAnsi="Times New Roman" w:cs="Times New Roman"/>
          <w:lang w:val="en-GB"/>
        </w:rPr>
      </w:pPr>
      <w:r w:rsidRPr="00FC747B">
        <w:rPr>
          <w:rStyle w:val="Odkaznapoznmkupodiarou"/>
          <w:rFonts w:ascii="Times New Roman" w:hAnsi="Times New Roman" w:cs="Times New Roman"/>
          <w:color w:val="auto"/>
          <w:lang w:val="en-GB"/>
        </w:rPr>
        <w:footnoteRef/>
      </w:r>
      <w:r w:rsidRPr="00FC747B">
        <w:rPr>
          <w:rFonts w:ascii="Times New Roman" w:hAnsi="Times New Roman" w:cs="Times New Roman"/>
          <w:color w:val="auto"/>
          <w:lang w:val="en-GB"/>
        </w:rPr>
        <w:t xml:space="preserve"> GOLDMAN M., HATCH M.: Women and Health (Academic Press, 2000), p.627.</w:t>
      </w:r>
    </w:p>
  </w:footnote>
  <w:footnote w:id="39">
    <w:p w14:paraId="58C94BB3" w14:textId="49462A6B" w:rsidR="00C364F1" w:rsidRPr="00E65DFB" w:rsidRDefault="00C364F1" w:rsidP="00E65DFB">
      <w:pPr>
        <w:pStyle w:val="Textpoznmkypodiarou"/>
        <w:jc w:val="both"/>
        <w:rPr>
          <w:rFonts w:ascii="Times New Roman" w:hAnsi="Times New Roman" w:cs="Times New Roman"/>
          <w:lang w:val="en-GB"/>
        </w:rPr>
      </w:pPr>
      <w:r w:rsidRPr="00E65DFB">
        <w:rPr>
          <w:rStyle w:val="Odkaznapoznmkupodiarou"/>
          <w:rFonts w:ascii="Times New Roman" w:hAnsi="Times New Roman" w:cs="Times New Roman"/>
          <w:color w:val="auto"/>
          <w:lang w:val="en-GB"/>
        </w:rPr>
        <w:footnoteRef/>
      </w:r>
      <w:r w:rsidRPr="00E65DFB">
        <w:rPr>
          <w:rFonts w:ascii="Times New Roman" w:hAnsi="Times New Roman" w:cs="Times New Roman"/>
          <w:color w:val="auto"/>
          <w:lang w:val="en-GB"/>
        </w:rPr>
        <w:t xml:space="preserve"> Findings of the Constitutional Court of the Slovak Republic, I. US PL 155/2017 dated 31 August 2017.</w:t>
      </w:r>
    </w:p>
  </w:footnote>
  <w:footnote w:id="40">
    <w:p w14:paraId="25522004" w14:textId="7F782953" w:rsidR="00C364F1" w:rsidRPr="00487387" w:rsidRDefault="00C364F1" w:rsidP="00487387">
      <w:pPr>
        <w:pStyle w:val="Textpoznmkypodiarou"/>
        <w:jc w:val="both"/>
        <w:rPr>
          <w:rFonts w:ascii="Times New Roman" w:hAnsi="Times New Roman" w:cs="Times New Roman"/>
          <w:lang w:val="en-GB"/>
        </w:rPr>
      </w:pPr>
      <w:r w:rsidRPr="00487387">
        <w:rPr>
          <w:rStyle w:val="Odkaznapoznmkupodiarou"/>
          <w:rFonts w:ascii="Times New Roman" w:hAnsi="Times New Roman" w:cs="Times New Roman"/>
          <w:color w:val="auto"/>
          <w:lang w:val="en-GB"/>
        </w:rPr>
        <w:footnoteRef/>
      </w:r>
      <w:r w:rsidRPr="00487387">
        <w:rPr>
          <w:rFonts w:ascii="Times New Roman" w:hAnsi="Times New Roman" w:cs="Times New Roman"/>
          <w:color w:val="auto"/>
          <w:lang w:val="en-GB"/>
        </w:rPr>
        <w:t xml:space="preserve"> World Health Organisation: „</w:t>
      </w:r>
      <w:r w:rsidRPr="00487387">
        <w:rPr>
          <w:rFonts w:ascii="Times New Roman" w:hAnsi="Times New Roman" w:cs="Times New Roman"/>
          <w:i/>
          <w:color w:val="auto"/>
          <w:lang w:val="en-GB"/>
        </w:rPr>
        <w:t>Safe Abortion: Technical and Political Guidelines for Healthcare Systems</w:t>
      </w:r>
      <w:r w:rsidRPr="00487387">
        <w:rPr>
          <w:rFonts w:ascii="Times New Roman" w:hAnsi="Times New Roman" w:cs="Times New Roman"/>
          <w:color w:val="auto"/>
          <w:lang w:val="en-GB"/>
        </w:rPr>
        <w:t>“ (2012), p.2</w:t>
      </w:r>
    </w:p>
  </w:footnote>
  <w:footnote w:id="41">
    <w:p w14:paraId="14F7A829" w14:textId="1F04D7DF" w:rsidR="00C364F1" w:rsidRPr="007F7513" w:rsidRDefault="00C364F1">
      <w:pPr>
        <w:pStyle w:val="Textpoznmkypodiarou"/>
        <w:rPr>
          <w:lang w:val="sk-SK"/>
        </w:rPr>
      </w:pPr>
      <w:r>
        <w:rPr>
          <w:rStyle w:val="Odkaznapoznmkupodiarou"/>
        </w:rPr>
        <w:footnoteRef/>
      </w:r>
      <w:r>
        <w:t xml:space="preserve"> </w:t>
      </w:r>
      <w:r w:rsidRPr="00861D7F">
        <w:rPr>
          <w:rFonts w:ascii="Times New Roman" w:hAnsi="Times New Roman" w:cs="Times New Roman"/>
          <w:color w:val="auto"/>
          <w:lang w:val="en-GB"/>
        </w:rPr>
        <w:t xml:space="preserve">Information provided by the Ministry of </w:t>
      </w:r>
      <w:r>
        <w:rPr>
          <w:rFonts w:ascii="Times New Roman" w:hAnsi="Times New Roman" w:cs="Times New Roman"/>
          <w:color w:val="auto"/>
          <w:lang w:val="en-GB"/>
        </w:rPr>
        <w:t>Education, Science, Research and Sport of the</w:t>
      </w:r>
      <w:r w:rsidRPr="00861D7F">
        <w:rPr>
          <w:rFonts w:ascii="Times New Roman" w:hAnsi="Times New Roman" w:cs="Times New Roman"/>
          <w:color w:val="auto"/>
          <w:lang w:val="en-GB"/>
        </w:rPr>
        <w:t xml:space="preserve"> Slovak Republic based on the Act on the Free Access to</w:t>
      </w:r>
      <w:r>
        <w:rPr>
          <w:rFonts w:ascii="Times New Roman" w:hAnsi="Times New Roman" w:cs="Times New Roman"/>
          <w:color w:val="auto"/>
          <w:lang w:val="en-GB"/>
        </w:rPr>
        <w:t xml:space="preserve"> Information (4</w:t>
      </w:r>
      <w:r w:rsidRPr="00861D7F">
        <w:rPr>
          <w:rFonts w:ascii="Times New Roman" w:hAnsi="Times New Roman" w:cs="Times New Roman"/>
          <w:color w:val="auto"/>
          <w:lang w:val="en-GB"/>
        </w:rPr>
        <w:t xml:space="preserve"> March 2020).</w:t>
      </w:r>
      <w:r>
        <w:rPr>
          <w:lang w:val="sk-SK"/>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115" w14:textId="77777777" w:rsidR="00C364F1" w:rsidRDefault="00C364F1" w:rsidP="008C6389">
    <w:pPr>
      <w:pStyle w:val="Hlavika"/>
    </w:pPr>
    <w:r>
      <w:rPr>
        <w:noProof/>
        <w:lang w:val="sk-SK" w:eastAsia="sk-SK"/>
      </w:rPr>
      <w:pict w14:anchorId="2F9A8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1" o:spid="_x0000_s2056" type="#_x0000_t75" style="position:absolute;margin-left:0;margin-top:0;width:602.75pt;height:852.5pt;z-index:-251657216;mso-position-horizontal:center;mso-position-horizontal-relative:margin;mso-position-vertical:center;mso-position-vertical-relative:margin" o:allowincell="f">
          <v:imagedata r:id="rId1" o:title="hp+t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5317" w14:textId="77777777" w:rsidR="00C364F1" w:rsidRDefault="00C364F1" w:rsidP="008C6389">
    <w:pPr>
      <w:pStyle w:val="Hlavika"/>
    </w:pPr>
    <w:r>
      <w:rPr>
        <w:noProof/>
        <w:lang w:val="sk-SK" w:eastAsia="sk-SK"/>
      </w:rPr>
      <w:pict w14:anchorId="5752A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2" o:spid="_x0000_s2057" type="#_x0000_t75" style="position:absolute;margin-left:-92.15pt;margin-top:-119.1pt;width:602.75pt;height:852.5pt;z-index:-251656192;mso-position-horizontal-relative:margin;mso-position-vertical-relative:margin" o:allowincell="f">
          <v:imagedata r:id="rId1" o:title="hp+ts"/>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0A9C" w14:textId="77777777" w:rsidR="00C364F1" w:rsidRDefault="00C364F1" w:rsidP="008C6389">
    <w:pPr>
      <w:pStyle w:val="Hlavika"/>
    </w:pPr>
    <w:r>
      <w:rPr>
        <w:noProof/>
        <w:lang w:val="sk-SK" w:eastAsia="sk-SK"/>
      </w:rPr>
      <w:pict w14:anchorId="19B6D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0" o:spid="_x0000_s2055" type="#_x0000_t75" style="position:absolute;margin-left:0;margin-top:0;width:602.75pt;height:852.5pt;z-index:-251658240;mso-position-horizontal:center;mso-position-horizontal-relative:margin;mso-position-vertical:center;mso-position-vertical-relative:margin" o:allowincell="f">
          <v:imagedata r:id="rId1" o:title="hp+t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5AC"/>
    <w:multiLevelType w:val="hybridMultilevel"/>
    <w:tmpl w:val="462A4B6A"/>
    <w:lvl w:ilvl="0" w:tplc="9FE0F20C">
      <w:start w:val="9"/>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5DDC7F5F"/>
    <w:multiLevelType w:val="hybridMultilevel"/>
    <w:tmpl w:val="98464576"/>
    <w:lvl w:ilvl="0" w:tplc="4E22D0C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FA657B7"/>
    <w:multiLevelType w:val="hybridMultilevel"/>
    <w:tmpl w:val="B644C246"/>
    <w:lvl w:ilvl="0" w:tplc="4E22D0C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94"/>
    <w:rsid w:val="00002936"/>
    <w:rsid w:val="00007A53"/>
    <w:rsid w:val="00011CC6"/>
    <w:rsid w:val="000140AB"/>
    <w:rsid w:val="00015914"/>
    <w:rsid w:val="000161AE"/>
    <w:rsid w:val="00027A92"/>
    <w:rsid w:val="00056016"/>
    <w:rsid w:val="00084F8B"/>
    <w:rsid w:val="000A62D6"/>
    <w:rsid w:val="000B093D"/>
    <w:rsid w:val="000B2CA2"/>
    <w:rsid w:val="000B2D85"/>
    <w:rsid w:val="000D2038"/>
    <w:rsid w:val="000F3577"/>
    <w:rsid w:val="001010AF"/>
    <w:rsid w:val="001031CD"/>
    <w:rsid w:val="001245AA"/>
    <w:rsid w:val="00125F6C"/>
    <w:rsid w:val="00172EAF"/>
    <w:rsid w:val="00195D29"/>
    <w:rsid w:val="00195F6A"/>
    <w:rsid w:val="001A00DA"/>
    <w:rsid w:val="00207E5E"/>
    <w:rsid w:val="002127F5"/>
    <w:rsid w:val="0022051D"/>
    <w:rsid w:val="0024240B"/>
    <w:rsid w:val="00264684"/>
    <w:rsid w:val="00266472"/>
    <w:rsid w:val="002902A8"/>
    <w:rsid w:val="002B32E1"/>
    <w:rsid w:val="003343EA"/>
    <w:rsid w:val="00385386"/>
    <w:rsid w:val="003C1DFE"/>
    <w:rsid w:val="003D2760"/>
    <w:rsid w:val="003F1CAB"/>
    <w:rsid w:val="00405FB6"/>
    <w:rsid w:val="00422703"/>
    <w:rsid w:val="00456FFA"/>
    <w:rsid w:val="00461C60"/>
    <w:rsid w:val="00484F94"/>
    <w:rsid w:val="00487387"/>
    <w:rsid w:val="00492D5A"/>
    <w:rsid w:val="004A2479"/>
    <w:rsid w:val="004A6047"/>
    <w:rsid w:val="004C2841"/>
    <w:rsid w:val="004C3D26"/>
    <w:rsid w:val="00515229"/>
    <w:rsid w:val="00537947"/>
    <w:rsid w:val="00555720"/>
    <w:rsid w:val="00556AC1"/>
    <w:rsid w:val="0057346D"/>
    <w:rsid w:val="00584F86"/>
    <w:rsid w:val="005D6E81"/>
    <w:rsid w:val="005D72DB"/>
    <w:rsid w:val="005F5C47"/>
    <w:rsid w:val="005F7050"/>
    <w:rsid w:val="00620C4D"/>
    <w:rsid w:val="00624C76"/>
    <w:rsid w:val="006476EC"/>
    <w:rsid w:val="00662474"/>
    <w:rsid w:val="00666A3E"/>
    <w:rsid w:val="006C476A"/>
    <w:rsid w:val="006E638D"/>
    <w:rsid w:val="0076648C"/>
    <w:rsid w:val="007A27DB"/>
    <w:rsid w:val="007D22DB"/>
    <w:rsid w:val="007F7513"/>
    <w:rsid w:val="0084546E"/>
    <w:rsid w:val="00853B03"/>
    <w:rsid w:val="00861D7F"/>
    <w:rsid w:val="00864D73"/>
    <w:rsid w:val="00874F8E"/>
    <w:rsid w:val="008A7805"/>
    <w:rsid w:val="008C08DB"/>
    <w:rsid w:val="008C1AD5"/>
    <w:rsid w:val="008C6389"/>
    <w:rsid w:val="008D4996"/>
    <w:rsid w:val="008F5E33"/>
    <w:rsid w:val="009223FD"/>
    <w:rsid w:val="00927994"/>
    <w:rsid w:val="0094003C"/>
    <w:rsid w:val="00947EA2"/>
    <w:rsid w:val="0095085F"/>
    <w:rsid w:val="00972106"/>
    <w:rsid w:val="0098383E"/>
    <w:rsid w:val="009A0646"/>
    <w:rsid w:val="009A1AB0"/>
    <w:rsid w:val="009B0892"/>
    <w:rsid w:val="009B5F1F"/>
    <w:rsid w:val="009D3056"/>
    <w:rsid w:val="009E5008"/>
    <w:rsid w:val="009F697F"/>
    <w:rsid w:val="00A0363E"/>
    <w:rsid w:val="00A10A98"/>
    <w:rsid w:val="00A22AD6"/>
    <w:rsid w:val="00A56066"/>
    <w:rsid w:val="00A618E6"/>
    <w:rsid w:val="00A91CF8"/>
    <w:rsid w:val="00A93E1D"/>
    <w:rsid w:val="00AA17F8"/>
    <w:rsid w:val="00B01561"/>
    <w:rsid w:val="00B02532"/>
    <w:rsid w:val="00B025FC"/>
    <w:rsid w:val="00B42DCC"/>
    <w:rsid w:val="00B71F72"/>
    <w:rsid w:val="00B96EDC"/>
    <w:rsid w:val="00BA62C0"/>
    <w:rsid w:val="00BA64B7"/>
    <w:rsid w:val="00BB0764"/>
    <w:rsid w:val="00BB2887"/>
    <w:rsid w:val="00BF40BB"/>
    <w:rsid w:val="00C364F1"/>
    <w:rsid w:val="00C5263A"/>
    <w:rsid w:val="00C80B79"/>
    <w:rsid w:val="00C80D36"/>
    <w:rsid w:val="00C8219C"/>
    <w:rsid w:val="00C85DF3"/>
    <w:rsid w:val="00C90026"/>
    <w:rsid w:val="00CB4F7C"/>
    <w:rsid w:val="00CE0E14"/>
    <w:rsid w:val="00CF4CF2"/>
    <w:rsid w:val="00D33ED7"/>
    <w:rsid w:val="00D34694"/>
    <w:rsid w:val="00D54D65"/>
    <w:rsid w:val="00D566F3"/>
    <w:rsid w:val="00D64BDA"/>
    <w:rsid w:val="00D65981"/>
    <w:rsid w:val="00D7705D"/>
    <w:rsid w:val="00D83513"/>
    <w:rsid w:val="00DB1ACF"/>
    <w:rsid w:val="00DC03EC"/>
    <w:rsid w:val="00DE5C7F"/>
    <w:rsid w:val="00DF2BAF"/>
    <w:rsid w:val="00E04D8E"/>
    <w:rsid w:val="00E15006"/>
    <w:rsid w:val="00E17571"/>
    <w:rsid w:val="00E210FB"/>
    <w:rsid w:val="00E22C3E"/>
    <w:rsid w:val="00E427D9"/>
    <w:rsid w:val="00E4511B"/>
    <w:rsid w:val="00E65DFB"/>
    <w:rsid w:val="00E73BCF"/>
    <w:rsid w:val="00EF0006"/>
    <w:rsid w:val="00F170C1"/>
    <w:rsid w:val="00F310BE"/>
    <w:rsid w:val="00F56205"/>
    <w:rsid w:val="00FC747B"/>
    <w:rsid w:val="00FD0226"/>
    <w:rsid w:val="00FD106D"/>
    <w:rsid w:val="00FD580F"/>
    <w:rsid w:val="00FD77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CF170AA"/>
  <w15:docId w15:val="{7AF2B8C9-7E81-487F-A370-0BFA1F9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6389"/>
    <w:pPr>
      <w:ind w:right="-1"/>
    </w:pPr>
    <w:rPr>
      <w:rFonts w:ascii="Montserrat" w:hAnsi="Montserrat"/>
      <w:color w:val="10395E"/>
      <w:sz w:val="20"/>
      <w:szCs w:val="20"/>
      <w:lang w:val="en-US"/>
    </w:rPr>
  </w:style>
  <w:style w:type="paragraph" w:styleId="Nadpis1">
    <w:name w:val="heading 1"/>
    <w:basedOn w:val="Normlny"/>
    <w:next w:val="Normlny"/>
    <w:link w:val="Nadpis1Char"/>
    <w:uiPriority w:val="9"/>
    <w:qFormat/>
    <w:rsid w:val="003343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84F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4F94"/>
  </w:style>
  <w:style w:type="paragraph" w:styleId="Pta">
    <w:name w:val="footer"/>
    <w:basedOn w:val="Normlny"/>
    <w:link w:val="PtaChar"/>
    <w:uiPriority w:val="99"/>
    <w:unhideWhenUsed/>
    <w:rsid w:val="00484F94"/>
    <w:pPr>
      <w:tabs>
        <w:tab w:val="center" w:pos="4536"/>
        <w:tab w:val="right" w:pos="9072"/>
      </w:tabs>
      <w:spacing w:after="0" w:line="240" w:lineRule="auto"/>
    </w:pPr>
  </w:style>
  <w:style w:type="character" w:customStyle="1" w:styleId="PtaChar">
    <w:name w:val="Päta Char"/>
    <w:basedOn w:val="Predvolenpsmoodseku"/>
    <w:link w:val="Pta"/>
    <w:uiPriority w:val="99"/>
    <w:rsid w:val="00484F94"/>
  </w:style>
  <w:style w:type="character" w:styleId="Hypertextovprepojenie">
    <w:name w:val="Hyperlink"/>
    <w:basedOn w:val="Predvolenpsmoodseku"/>
    <w:uiPriority w:val="99"/>
    <w:unhideWhenUsed/>
    <w:rsid w:val="00D7705D"/>
    <w:rPr>
      <w:color w:val="0000FF" w:themeColor="hyperlink"/>
      <w:u w:val="single"/>
    </w:rPr>
  </w:style>
  <w:style w:type="paragraph" w:styleId="Odsekzoznamu">
    <w:name w:val="List Paragraph"/>
    <w:basedOn w:val="Normlny"/>
    <w:uiPriority w:val="34"/>
    <w:qFormat/>
    <w:rsid w:val="00B01561"/>
    <w:pPr>
      <w:ind w:left="720"/>
      <w:contextualSpacing/>
    </w:pPr>
  </w:style>
  <w:style w:type="paragraph" w:styleId="Textpoznmkypodiarou">
    <w:name w:val="footnote text"/>
    <w:basedOn w:val="Normlny"/>
    <w:link w:val="TextpoznmkypodiarouChar"/>
    <w:uiPriority w:val="99"/>
    <w:semiHidden/>
    <w:unhideWhenUsed/>
    <w:rsid w:val="003D2760"/>
    <w:pPr>
      <w:spacing w:after="0" w:line="240" w:lineRule="auto"/>
    </w:pPr>
  </w:style>
  <w:style w:type="character" w:customStyle="1" w:styleId="TextpoznmkypodiarouChar">
    <w:name w:val="Text poznámky pod čiarou Char"/>
    <w:basedOn w:val="Predvolenpsmoodseku"/>
    <w:link w:val="Textpoznmkypodiarou"/>
    <w:uiPriority w:val="99"/>
    <w:semiHidden/>
    <w:rsid w:val="003D2760"/>
    <w:rPr>
      <w:rFonts w:ascii="Montserrat" w:hAnsi="Montserrat"/>
      <w:color w:val="10395E"/>
      <w:sz w:val="20"/>
      <w:szCs w:val="20"/>
      <w:lang w:val="en-US"/>
    </w:rPr>
  </w:style>
  <w:style w:type="character" w:styleId="Odkaznapoznmkupodiarou">
    <w:name w:val="footnote reference"/>
    <w:basedOn w:val="Predvolenpsmoodseku"/>
    <w:uiPriority w:val="99"/>
    <w:semiHidden/>
    <w:unhideWhenUsed/>
    <w:rsid w:val="003D2760"/>
    <w:rPr>
      <w:vertAlign w:val="superscript"/>
    </w:rPr>
  </w:style>
  <w:style w:type="table" w:styleId="Mriekatabuky">
    <w:name w:val="Table Grid"/>
    <w:basedOn w:val="Normlnatabuka"/>
    <w:uiPriority w:val="59"/>
    <w:rsid w:val="009D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3343EA"/>
    <w:rPr>
      <w:rFonts w:asciiTheme="majorHAnsi" w:eastAsiaTheme="majorEastAsia" w:hAnsiTheme="majorHAnsi" w:cstheme="majorBidi"/>
      <w:color w:val="365F91" w:themeColor="accent1" w:themeShade="BF"/>
      <w:sz w:val="32"/>
      <w:szCs w:val="32"/>
      <w:lang w:val="en-US"/>
    </w:rPr>
  </w:style>
  <w:style w:type="character" w:styleId="Odkaznakomentr">
    <w:name w:val="annotation reference"/>
    <w:basedOn w:val="Predvolenpsmoodseku"/>
    <w:uiPriority w:val="99"/>
    <w:semiHidden/>
    <w:unhideWhenUsed/>
    <w:rsid w:val="0022051D"/>
    <w:rPr>
      <w:sz w:val="16"/>
      <w:szCs w:val="16"/>
    </w:rPr>
  </w:style>
  <w:style w:type="paragraph" w:styleId="Textkomentra">
    <w:name w:val="annotation text"/>
    <w:basedOn w:val="Normlny"/>
    <w:link w:val="TextkomentraChar"/>
    <w:uiPriority w:val="99"/>
    <w:semiHidden/>
    <w:unhideWhenUsed/>
    <w:rsid w:val="0022051D"/>
    <w:pPr>
      <w:spacing w:line="240" w:lineRule="auto"/>
    </w:pPr>
  </w:style>
  <w:style w:type="character" w:customStyle="1" w:styleId="TextkomentraChar">
    <w:name w:val="Text komentára Char"/>
    <w:basedOn w:val="Predvolenpsmoodseku"/>
    <w:link w:val="Textkomentra"/>
    <w:uiPriority w:val="99"/>
    <w:semiHidden/>
    <w:rsid w:val="0022051D"/>
    <w:rPr>
      <w:rFonts w:ascii="Montserrat" w:hAnsi="Montserrat"/>
      <w:color w:val="10395E"/>
      <w:sz w:val="20"/>
      <w:szCs w:val="20"/>
      <w:lang w:val="en-US"/>
    </w:rPr>
  </w:style>
  <w:style w:type="paragraph" w:styleId="Predmetkomentra">
    <w:name w:val="annotation subject"/>
    <w:basedOn w:val="Textkomentra"/>
    <w:next w:val="Textkomentra"/>
    <w:link w:val="PredmetkomentraChar"/>
    <w:uiPriority w:val="99"/>
    <w:semiHidden/>
    <w:unhideWhenUsed/>
    <w:rsid w:val="0022051D"/>
    <w:rPr>
      <w:b/>
      <w:bCs/>
    </w:rPr>
  </w:style>
  <w:style w:type="character" w:customStyle="1" w:styleId="PredmetkomentraChar">
    <w:name w:val="Predmet komentára Char"/>
    <w:basedOn w:val="TextkomentraChar"/>
    <w:link w:val="Predmetkomentra"/>
    <w:uiPriority w:val="99"/>
    <w:semiHidden/>
    <w:rsid w:val="0022051D"/>
    <w:rPr>
      <w:rFonts w:ascii="Montserrat" w:hAnsi="Montserrat"/>
      <w:b/>
      <w:bCs/>
      <w:color w:val="10395E"/>
      <w:sz w:val="20"/>
      <w:szCs w:val="20"/>
      <w:lang w:val="en-US"/>
    </w:rPr>
  </w:style>
  <w:style w:type="paragraph" w:styleId="Textbubliny">
    <w:name w:val="Balloon Text"/>
    <w:basedOn w:val="Normlny"/>
    <w:link w:val="TextbublinyChar"/>
    <w:uiPriority w:val="99"/>
    <w:semiHidden/>
    <w:unhideWhenUsed/>
    <w:rsid w:val="002205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051D"/>
    <w:rPr>
      <w:rFonts w:ascii="Segoe UI" w:hAnsi="Segoe UI" w:cs="Segoe UI"/>
      <w:color w:val="10395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9786">
      <w:bodyDiv w:val="1"/>
      <w:marLeft w:val="0"/>
      <w:marRight w:val="0"/>
      <w:marTop w:val="0"/>
      <w:marBottom w:val="0"/>
      <w:divBdr>
        <w:top w:val="none" w:sz="0" w:space="0" w:color="auto"/>
        <w:left w:val="none" w:sz="0" w:space="0" w:color="auto"/>
        <w:bottom w:val="none" w:sz="0" w:space="0" w:color="auto"/>
        <w:right w:val="none" w:sz="0" w:space="0" w:color="auto"/>
      </w:divBdr>
    </w:div>
    <w:div w:id="119807518">
      <w:bodyDiv w:val="1"/>
      <w:marLeft w:val="0"/>
      <w:marRight w:val="0"/>
      <w:marTop w:val="0"/>
      <w:marBottom w:val="0"/>
      <w:divBdr>
        <w:top w:val="none" w:sz="0" w:space="0" w:color="auto"/>
        <w:left w:val="none" w:sz="0" w:space="0" w:color="auto"/>
        <w:bottom w:val="none" w:sz="0" w:space="0" w:color="auto"/>
        <w:right w:val="none" w:sz="0" w:space="0" w:color="auto"/>
      </w:divBdr>
      <w:divsChild>
        <w:div w:id="2055275363">
          <w:marLeft w:val="0"/>
          <w:marRight w:val="0"/>
          <w:marTop w:val="0"/>
          <w:marBottom w:val="0"/>
          <w:divBdr>
            <w:top w:val="none" w:sz="0" w:space="0" w:color="auto"/>
            <w:left w:val="none" w:sz="0" w:space="0" w:color="auto"/>
            <w:bottom w:val="none" w:sz="0" w:space="0" w:color="auto"/>
            <w:right w:val="none" w:sz="0" w:space="0" w:color="auto"/>
          </w:divBdr>
        </w:div>
      </w:divsChild>
    </w:div>
    <w:div w:id="412971362">
      <w:bodyDiv w:val="1"/>
      <w:marLeft w:val="0"/>
      <w:marRight w:val="0"/>
      <w:marTop w:val="0"/>
      <w:marBottom w:val="0"/>
      <w:divBdr>
        <w:top w:val="none" w:sz="0" w:space="0" w:color="auto"/>
        <w:left w:val="none" w:sz="0" w:space="0" w:color="auto"/>
        <w:bottom w:val="none" w:sz="0" w:space="0" w:color="auto"/>
        <w:right w:val="none" w:sz="0" w:space="0" w:color="auto"/>
      </w:divBdr>
    </w:div>
    <w:div w:id="585385270">
      <w:bodyDiv w:val="1"/>
      <w:marLeft w:val="0"/>
      <w:marRight w:val="0"/>
      <w:marTop w:val="0"/>
      <w:marBottom w:val="0"/>
      <w:divBdr>
        <w:top w:val="none" w:sz="0" w:space="0" w:color="auto"/>
        <w:left w:val="none" w:sz="0" w:space="0" w:color="auto"/>
        <w:bottom w:val="none" w:sz="0" w:space="0" w:color="auto"/>
        <w:right w:val="none" w:sz="0" w:space="0" w:color="auto"/>
      </w:divBdr>
    </w:div>
    <w:div w:id="1017737809">
      <w:bodyDiv w:val="1"/>
      <w:marLeft w:val="0"/>
      <w:marRight w:val="0"/>
      <w:marTop w:val="0"/>
      <w:marBottom w:val="0"/>
      <w:divBdr>
        <w:top w:val="none" w:sz="0" w:space="0" w:color="auto"/>
        <w:left w:val="none" w:sz="0" w:space="0" w:color="auto"/>
        <w:bottom w:val="none" w:sz="0" w:space="0" w:color="auto"/>
        <w:right w:val="none" w:sz="0" w:space="0" w:color="auto"/>
      </w:divBdr>
      <w:divsChild>
        <w:div w:id="1276599544">
          <w:marLeft w:val="0"/>
          <w:marRight w:val="0"/>
          <w:marTop w:val="0"/>
          <w:marBottom w:val="0"/>
          <w:divBdr>
            <w:top w:val="none" w:sz="0" w:space="0" w:color="auto"/>
            <w:left w:val="none" w:sz="0" w:space="0" w:color="auto"/>
            <w:bottom w:val="none" w:sz="0" w:space="0" w:color="auto"/>
            <w:right w:val="none" w:sz="0" w:space="0" w:color="auto"/>
          </w:divBdr>
        </w:div>
      </w:divsChild>
    </w:div>
    <w:div w:id="1068499004">
      <w:bodyDiv w:val="1"/>
      <w:marLeft w:val="0"/>
      <w:marRight w:val="0"/>
      <w:marTop w:val="0"/>
      <w:marBottom w:val="0"/>
      <w:divBdr>
        <w:top w:val="none" w:sz="0" w:space="0" w:color="auto"/>
        <w:left w:val="none" w:sz="0" w:space="0" w:color="auto"/>
        <w:bottom w:val="none" w:sz="0" w:space="0" w:color="auto"/>
        <w:right w:val="none" w:sz="0" w:space="0" w:color="auto"/>
      </w:divBdr>
      <w:divsChild>
        <w:div w:id="1685589582">
          <w:marLeft w:val="0"/>
          <w:marRight w:val="0"/>
          <w:marTop w:val="0"/>
          <w:marBottom w:val="0"/>
          <w:divBdr>
            <w:top w:val="none" w:sz="0" w:space="0" w:color="auto"/>
            <w:left w:val="none" w:sz="0" w:space="0" w:color="auto"/>
            <w:bottom w:val="none" w:sz="0" w:space="0" w:color="auto"/>
            <w:right w:val="none" w:sz="0" w:space="0" w:color="auto"/>
          </w:divBdr>
        </w:div>
      </w:divsChild>
    </w:div>
    <w:div w:id="1142191048">
      <w:bodyDiv w:val="1"/>
      <w:marLeft w:val="0"/>
      <w:marRight w:val="0"/>
      <w:marTop w:val="0"/>
      <w:marBottom w:val="0"/>
      <w:divBdr>
        <w:top w:val="none" w:sz="0" w:space="0" w:color="auto"/>
        <w:left w:val="none" w:sz="0" w:space="0" w:color="auto"/>
        <w:bottom w:val="none" w:sz="0" w:space="0" w:color="auto"/>
        <w:right w:val="none" w:sz="0" w:space="0" w:color="auto"/>
      </w:divBdr>
    </w:div>
    <w:div w:id="1241453057">
      <w:bodyDiv w:val="1"/>
      <w:marLeft w:val="0"/>
      <w:marRight w:val="0"/>
      <w:marTop w:val="0"/>
      <w:marBottom w:val="0"/>
      <w:divBdr>
        <w:top w:val="none" w:sz="0" w:space="0" w:color="auto"/>
        <w:left w:val="none" w:sz="0" w:space="0" w:color="auto"/>
        <w:bottom w:val="none" w:sz="0" w:space="0" w:color="auto"/>
        <w:right w:val="none" w:sz="0" w:space="0" w:color="auto"/>
      </w:divBdr>
    </w:div>
    <w:div w:id="1316570074">
      <w:bodyDiv w:val="1"/>
      <w:marLeft w:val="0"/>
      <w:marRight w:val="0"/>
      <w:marTop w:val="0"/>
      <w:marBottom w:val="0"/>
      <w:divBdr>
        <w:top w:val="none" w:sz="0" w:space="0" w:color="auto"/>
        <w:left w:val="none" w:sz="0" w:space="0" w:color="auto"/>
        <w:bottom w:val="none" w:sz="0" w:space="0" w:color="auto"/>
        <w:right w:val="none" w:sz="0" w:space="0" w:color="auto"/>
      </w:divBdr>
    </w:div>
    <w:div w:id="1736855341">
      <w:bodyDiv w:val="1"/>
      <w:marLeft w:val="0"/>
      <w:marRight w:val="0"/>
      <w:marTop w:val="0"/>
      <w:marBottom w:val="0"/>
      <w:divBdr>
        <w:top w:val="none" w:sz="0" w:space="0" w:color="auto"/>
        <w:left w:val="none" w:sz="0" w:space="0" w:color="auto"/>
        <w:bottom w:val="none" w:sz="0" w:space="0" w:color="auto"/>
        <w:right w:val="none" w:sz="0" w:space="0" w:color="auto"/>
      </w:divBdr>
      <w:divsChild>
        <w:div w:id="171751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s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fsr.sk/files/archiv/77/HealthcareSpendingReview2_EN.pdf" TargetMode="External"/><Relationship Id="rId13" Type="http://schemas.openxmlformats.org/officeDocument/2006/relationships/hyperlink" Target="https://www.uvzsr.sk/docs/info/podpora/Poradenske_centra_ochrany_a_podpory_zdravia_v_SR_2019.pdf" TargetMode="External"/><Relationship Id="rId18" Type="http://schemas.openxmlformats.org/officeDocument/2006/relationships/hyperlink" Target="https://www.epfweb.org/node/89" TargetMode="External"/><Relationship Id="rId3" Type="http://schemas.openxmlformats.org/officeDocument/2006/relationships/hyperlink" Target="https://appsso.eurostat.ec.europa.eu/nui/submitViewTableAction.do" TargetMode="External"/><Relationship Id="rId7" Type="http://schemas.openxmlformats.org/officeDocument/2006/relationships/hyperlink" Target="https://tbinternet.ohchr.org/_layouts/15/TreatyBodyExternal/countries.aspx?CountryCode=SVK&amp;Lang=EN" TargetMode="External"/><Relationship Id="rId12" Type="http://schemas.openxmlformats.org/officeDocument/2006/relationships/hyperlink" Target="https://www.planobnovy.sk/kompletny-plan-obnovy/" TargetMode="External"/><Relationship Id="rId17" Type="http://schemas.openxmlformats.org/officeDocument/2006/relationships/hyperlink" Target="http://odz.sk/en/wp-content/uploads/ZMT2_SUMMARY_EN_final.pdf" TargetMode="External"/><Relationship Id="rId2" Type="http://schemas.openxmlformats.org/officeDocument/2006/relationships/hyperlink" Target="http://datacube.statistics.sk/" TargetMode="External"/><Relationship Id="rId16" Type="http://schemas.openxmlformats.org/officeDocument/2006/relationships/hyperlink" Target="http://odz.sk/" TargetMode="External"/><Relationship Id="rId20" Type="http://schemas.openxmlformats.org/officeDocument/2006/relationships/hyperlink" Target="https://www.health.gov.sk/Clanok?mz-sr-respektuje-solidarny-princip-zdravotneho-poistenia" TargetMode="External"/><Relationship Id="rId1" Type="http://schemas.openxmlformats.org/officeDocument/2006/relationships/hyperlink" Target="http://datacube.statistics.sk/" TargetMode="External"/><Relationship Id="rId6" Type="http://schemas.openxmlformats.org/officeDocument/2006/relationships/hyperlink" Target="http://www.nczisk.sk/Statisticke_vystupy/Zdravotnicka_rocenka/Pages/default.aspx" TargetMode="External"/><Relationship Id="rId11" Type="http://schemas.openxmlformats.org/officeDocument/2006/relationships/hyperlink" Target="https://www.slov-lex.sk/legislativne-procesy/-/SK/dokumenty/LP-2020-401" TargetMode="External"/><Relationship Id="rId5" Type="http://schemas.openxmlformats.org/officeDocument/2006/relationships/hyperlink" Target="https://appsso.eurostat.ec.europa.eu/nui/submitViewTableAction.do" TargetMode="External"/><Relationship Id="rId15" Type="http://schemas.openxmlformats.org/officeDocument/2006/relationships/hyperlink" Target="https://zenskekruhy.sk/" TargetMode="External"/><Relationship Id="rId10" Type="http://schemas.openxmlformats.org/officeDocument/2006/relationships/hyperlink" Target="http://www.nczisk.sk/Statisticke_vystupy/Zdravotnicka_rocenka/Pages/default.aspx" TargetMode="External"/><Relationship Id="rId19" Type="http://schemas.openxmlformats.org/officeDocument/2006/relationships/hyperlink" Target="https://www.health.gov.sk/Clanok?mz-sr-respektuje-solidarny-princip-zdravotneho-poistenia" TargetMode="External"/><Relationship Id="rId4" Type="http://schemas.openxmlformats.org/officeDocument/2006/relationships/hyperlink" Target="https://ec.europa.eu/eurostat/statistics-explained/index.php?title=File:Standardised_deaths_rates_for_avoidable_mortality,_persons_aged_less_than_75_years,_2016_and_2017_(per_100_000_inhabitants)_Health20.png" TargetMode="External"/><Relationship Id="rId9" Type="http://schemas.openxmlformats.org/officeDocument/2006/relationships/hyperlink" Target="http://www.nczisk.sk/Statisticke_vystupy/Zdravotnicka_rocenka/Pages/default.aspx" TargetMode="External"/><Relationship Id="rId14" Type="http://schemas.openxmlformats.org/officeDocument/2006/relationships/hyperlink" Target="http://datacube.statistic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E52F0-8B56-4EC5-BB7E-F86CEFCE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12707</TotalTime>
  <Pages>22</Pages>
  <Words>8260</Words>
  <Characters>47083</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kovi</dc:creator>
  <cp:lastModifiedBy>Bea Babačová</cp:lastModifiedBy>
  <cp:revision>14</cp:revision>
  <dcterms:created xsi:type="dcterms:W3CDTF">2021-06-24T08:43:00Z</dcterms:created>
  <dcterms:modified xsi:type="dcterms:W3CDTF">2021-07-09T12:57:00Z</dcterms:modified>
</cp:coreProperties>
</file>